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41C9F0CA" w:rsidR="006F17A1" w:rsidRPr="0083152A" w:rsidRDefault="00A45C13" w:rsidP="006F17A1">
      <w:pPr>
        <w:pStyle w:val="BodyText"/>
        <w:spacing w:after="0" w:line="240" w:lineRule="auto"/>
        <w:jc w:val="center"/>
        <w:rPr>
          <w:rFonts w:ascii="Arial" w:hAnsi="Arial" w:cs="Arial"/>
          <w:sz w:val="28"/>
          <w:szCs w:val="28"/>
        </w:rPr>
      </w:pPr>
      <w:r>
        <w:rPr>
          <w:rFonts w:ascii="Arial" w:hAnsi="Arial" w:cs="Arial"/>
          <w:sz w:val="28"/>
          <w:szCs w:val="28"/>
        </w:rPr>
        <w:t>Head of Customs &amp; Immigration</w:t>
      </w:r>
    </w:p>
    <w:p w14:paraId="716E422B" w14:textId="1E9EB3B0" w:rsidR="006F17A1" w:rsidRPr="00731324" w:rsidRDefault="00582C2D" w:rsidP="006F17A1">
      <w:pPr>
        <w:pStyle w:val="BodyText"/>
        <w:spacing w:after="0" w:line="240" w:lineRule="auto"/>
        <w:jc w:val="both"/>
        <w:rPr>
          <w:rFonts w:ascii="Arial" w:hAnsi="Arial" w:cs="Arial"/>
          <w:b/>
          <w:bCs/>
        </w:rPr>
      </w:pPr>
      <w:r>
        <w:rPr>
          <w:rFonts w:ascii="Arial" w:hAnsi="Arial" w:cs="Arial"/>
        </w:rPr>
        <w:t>December 2023</w:t>
      </w:r>
      <w:r w:rsidR="0083152A">
        <w:rPr>
          <w:rFonts w:ascii="Arial" w:hAnsi="Arial" w:cs="Arial"/>
        </w:rPr>
        <w:t>.</w:t>
      </w:r>
      <w:r w:rsidR="006F17A1" w:rsidRPr="00731324">
        <w:rPr>
          <w:rFonts w:ascii="Arial" w:hAnsi="Arial" w:cs="Arial"/>
        </w:rPr>
        <w:t xml:space="preserve"> </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0213802E" w:rsidR="006F17A1" w:rsidRPr="00A45C13" w:rsidRDefault="006F17A1" w:rsidP="00A933EB">
      <w:pPr>
        <w:pStyle w:val="Heading1"/>
      </w:pPr>
      <w:r w:rsidRPr="00A45C13">
        <w:t>Background</w:t>
      </w:r>
    </w:p>
    <w:p w14:paraId="7115A8D5" w14:textId="0855BB05" w:rsidR="005A25CB" w:rsidRPr="002F5805" w:rsidRDefault="005A25CB" w:rsidP="00A933EB">
      <w:pPr>
        <w:pStyle w:val="BodyTextIndent"/>
        <w:numPr>
          <w:ilvl w:val="1"/>
          <w:numId w:val="27"/>
        </w:numPr>
        <w:spacing w:line="240" w:lineRule="auto"/>
        <w:jc w:val="both"/>
        <w:rPr>
          <w:rFonts w:ascii="Arial" w:hAnsi="Arial" w:cs="Arial"/>
        </w:rPr>
      </w:pPr>
      <w:r w:rsidRPr="002F5805">
        <w:rPr>
          <w:rFonts w:ascii="Arial" w:hAnsi="Arial" w:cs="Arial"/>
        </w:rPr>
        <w:t>The island of St Helena is an internally self-governing Overseas Territory of the United Kingdom located in the South Atlantic approximately 4,000 miles from the UK.  The Government comprises a Governor (who is appointed by the Crown)</w:t>
      </w:r>
      <w:r w:rsidR="00134331">
        <w:rPr>
          <w:rFonts w:ascii="Arial" w:hAnsi="Arial" w:cs="Arial"/>
        </w:rPr>
        <w:t>,</w:t>
      </w:r>
      <w:r w:rsidRPr="002F5805">
        <w:rPr>
          <w:rFonts w:ascii="Arial" w:hAnsi="Arial" w:cs="Arial"/>
        </w:rPr>
        <w:t xml:space="preserve"> an Executive Council, which has the general control and direction of Government, and a Legislative Council.  The Governor retains responsibility for internal security, external affairs, defence, the public service, finance and shipping. </w:t>
      </w:r>
    </w:p>
    <w:p w14:paraId="40577B3B" w14:textId="2E9B9E97" w:rsidR="005A25CB" w:rsidRPr="002F5805" w:rsidRDefault="005A25CB" w:rsidP="00A933EB">
      <w:pPr>
        <w:pStyle w:val="BodyTextIndent"/>
        <w:numPr>
          <w:ilvl w:val="1"/>
          <w:numId w:val="27"/>
        </w:numPr>
        <w:spacing w:line="240" w:lineRule="auto"/>
        <w:jc w:val="both"/>
        <w:rPr>
          <w:rFonts w:ascii="Arial" w:hAnsi="Arial" w:cs="Arial"/>
        </w:rPr>
      </w:pPr>
      <w:r w:rsidRPr="002F5805">
        <w:rPr>
          <w:rFonts w:ascii="Arial" w:hAnsi="Arial" w:cs="Arial"/>
        </w:rPr>
        <w:t>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072AECB9" w14:textId="231FC7F8" w:rsidR="005A25CB" w:rsidRPr="002F5805" w:rsidRDefault="005A25CB" w:rsidP="00A933EB">
      <w:pPr>
        <w:pStyle w:val="Default"/>
        <w:numPr>
          <w:ilvl w:val="1"/>
          <w:numId w:val="27"/>
        </w:numPr>
        <w:spacing w:after="120"/>
        <w:jc w:val="both"/>
        <w:rPr>
          <w:rFonts w:ascii="Arial" w:hAnsi="Arial" w:cs="Arial"/>
          <w:sz w:val="22"/>
          <w:szCs w:val="22"/>
        </w:rPr>
      </w:pPr>
      <w:r w:rsidRPr="002F5805">
        <w:rPr>
          <w:rFonts w:ascii="Arial" w:hAnsi="Arial" w:cs="Arial"/>
          <w:sz w:val="22"/>
          <w:szCs w:val="22"/>
        </w:rPr>
        <w:t xml:space="preserve">The 10 Year Plan for St Helena captures the following National Goals: </w:t>
      </w:r>
    </w:p>
    <w:p w14:paraId="14C818F3" w14:textId="77777777" w:rsidR="005A25CB" w:rsidRPr="002F5805" w:rsidRDefault="005A25CB" w:rsidP="00A45C13">
      <w:pPr>
        <w:autoSpaceDE w:val="0"/>
        <w:autoSpaceDN w:val="0"/>
        <w:adjustRightInd w:val="0"/>
        <w:spacing w:after="0" w:line="240" w:lineRule="auto"/>
        <w:ind w:firstLine="720"/>
        <w:jc w:val="both"/>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A45C13">
      <w:pPr>
        <w:autoSpaceDE w:val="0"/>
        <w:autoSpaceDN w:val="0"/>
        <w:adjustRightInd w:val="0"/>
        <w:spacing w:after="0" w:line="240" w:lineRule="auto"/>
        <w:ind w:firstLine="720"/>
        <w:jc w:val="both"/>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A45C13">
      <w:pPr>
        <w:autoSpaceDE w:val="0"/>
        <w:autoSpaceDN w:val="0"/>
        <w:adjustRightInd w:val="0"/>
        <w:spacing w:after="0" w:line="240" w:lineRule="auto"/>
        <w:ind w:firstLine="720"/>
        <w:jc w:val="both"/>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A45C13">
      <w:pPr>
        <w:autoSpaceDE w:val="0"/>
        <w:autoSpaceDN w:val="0"/>
        <w:adjustRightInd w:val="0"/>
        <w:spacing w:after="0" w:line="240" w:lineRule="auto"/>
        <w:ind w:firstLine="720"/>
        <w:jc w:val="both"/>
        <w:rPr>
          <w:rFonts w:ascii="Arial" w:hAnsi="Arial" w:cs="Arial"/>
          <w:color w:val="000000"/>
        </w:rPr>
      </w:pPr>
      <w:r w:rsidRPr="002F5805">
        <w:rPr>
          <w:rFonts w:ascii="Arial" w:hAnsi="Arial" w:cs="Arial"/>
          <w:b/>
          <w:bCs/>
          <w:color w:val="000000"/>
        </w:rPr>
        <w:t xml:space="preserve">Altogether Greener </w:t>
      </w:r>
    </w:p>
    <w:p w14:paraId="058B4315" w14:textId="77777777" w:rsidR="005A25CB" w:rsidRPr="002F5805" w:rsidRDefault="005A25CB" w:rsidP="00A933EB">
      <w:pPr>
        <w:autoSpaceDE w:val="0"/>
        <w:autoSpaceDN w:val="0"/>
        <w:adjustRightInd w:val="0"/>
        <w:spacing w:after="120" w:line="240" w:lineRule="auto"/>
        <w:ind w:firstLine="720"/>
        <w:jc w:val="both"/>
        <w:rPr>
          <w:rFonts w:ascii="Arial" w:hAnsi="Arial" w:cs="Arial"/>
          <w:color w:val="000000"/>
        </w:rPr>
      </w:pPr>
      <w:r w:rsidRPr="002F5805">
        <w:rPr>
          <w:rFonts w:ascii="Arial" w:hAnsi="Arial" w:cs="Arial"/>
          <w:b/>
          <w:bCs/>
          <w:color w:val="000000"/>
        </w:rPr>
        <w:t xml:space="preserve">Altogether Wealthier </w:t>
      </w:r>
    </w:p>
    <w:p w14:paraId="1E8DAAE9" w14:textId="3E48717D" w:rsidR="001D42E7" w:rsidRPr="00381651" w:rsidRDefault="005A25CB" w:rsidP="00A933EB">
      <w:pPr>
        <w:autoSpaceDE w:val="0"/>
        <w:autoSpaceDN w:val="0"/>
        <w:adjustRightInd w:val="0"/>
        <w:spacing w:after="120" w:line="240" w:lineRule="auto"/>
        <w:ind w:left="426"/>
        <w:jc w:val="both"/>
        <w:rPr>
          <w:rFonts w:ascii="Arial" w:hAnsi="Arial" w:cs="Arial"/>
          <w:color w:val="000000"/>
        </w:rPr>
      </w:pPr>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10" w:history="1">
        <w:r w:rsidR="001D42E7" w:rsidRPr="00597CBC">
          <w:rPr>
            <w:rStyle w:val="Hyperlink"/>
            <w:rFonts w:ascii="Arial" w:hAnsi="Arial" w:cs="Arial"/>
          </w:rPr>
          <w:t>https://www.sainthelena.gov.sh/wp-content/uploads/2012/08/10-Year-Plan-20-January-2017.pdf</w:t>
        </w:r>
      </w:hyperlink>
    </w:p>
    <w:p w14:paraId="36C4AF05" w14:textId="1E09B4D8" w:rsidR="00381651" w:rsidRPr="00A45C13" w:rsidRDefault="00381651" w:rsidP="00A933EB">
      <w:pPr>
        <w:pStyle w:val="Default"/>
        <w:numPr>
          <w:ilvl w:val="1"/>
          <w:numId w:val="27"/>
        </w:numPr>
        <w:spacing w:after="120"/>
        <w:jc w:val="both"/>
        <w:rPr>
          <w:rFonts w:ascii="Arial" w:hAnsi="Arial" w:cs="Arial"/>
          <w:sz w:val="22"/>
          <w:szCs w:val="22"/>
        </w:rPr>
      </w:pPr>
      <w:r w:rsidRPr="00A45C13">
        <w:rPr>
          <w:rFonts w:ascii="Arial" w:hAnsi="Arial" w:cs="Arial"/>
          <w:sz w:val="22"/>
          <w:szCs w:val="22"/>
        </w:rPr>
        <w:t xml:space="preserve">Through the 2018 Employee Opinion Survey, and then further work in 2019 through ‘We are Listening’, a series of workshops and focus groups, the Public Service developed its Vision, Mission and Values.  </w:t>
      </w:r>
      <w:r w:rsidR="00C831C0" w:rsidRPr="00A45C13">
        <w:rPr>
          <w:rFonts w:ascii="Arial" w:hAnsi="Arial" w:cs="Arial"/>
          <w:sz w:val="22"/>
          <w:szCs w:val="22"/>
        </w:rPr>
        <w:t>The Prospectus for Change 2020-2023 was also developed and sets out St Helena Government’s Goals and Strategies for making the Public Service a great place to work, while ensuring customers experience the best possible service.</w:t>
      </w:r>
    </w:p>
    <w:p w14:paraId="65ABD4C7"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color w:val="000000"/>
        </w:rPr>
        <w:t xml:space="preserve">St Helena – a great place to live, learn, work, visit and invest. </w:t>
      </w:r>
    </w:p>
    <w:p w14:paraId="2F16E585"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color w:val="000000"/>
        </w:rPr>
        <w:t xml:space="preserve">Improve the lives of all within our community and help the island thrive. </w:t>
      </w:r>
    </w:p>
    <w:p w14:paraId="0B1E6E97"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A933EB">
      <w:pPr>
        <w:autoSpaceDE w:val="0"/>
        <w:autoSpaceDN w:val="0"/>
        <w:adjustRightInd w:val="0"/>
        <w:spacing w:after="120" w:line="240" w:lineRule="auto"/>
        <w:ind w:left="720"/>
        <w:jc w:val="both"/>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725207F8" w14:textId="77777777" w:rsidR="00EE09D4" w:rsidRDefault="00EE09D4" w:rsidP="00EE09D4">
      <w:pPr>
        <w:pStyle w:val="Default"/>
        <w:numPr>
          <w:ilvl w:val="1"/>
          <w:numId w:val="27"/>
        </w:numPr>
        <w:spacing w:after="120"/>
        <w:jc w:val="both"/>
        <w:rPr>
          <w:rFonts w:ascii="Arial" w:hAnsi="Arial" w:cs="Arial"/>
          <w:sz w:val="22"/>
          <w:szCs w:val="22"/>
        </w:rPr>
      </w:pPr>
      <w:r w:rsidRPr="00EE09D4">
        <w:rPr>
          <w:rFonts w:ascii="Arial" w:hAnsi="Arial" w:cs="Arial"/>
          <w:sz w:val="22"/>
          <w:szCs w:val="22"/>
        </w:rPr>
        <w:t xml:space="preserve">Commercial flights to St Helena commenced on 14 October 2017.  It is hoped that the tourism activity resulting from this will significantly enhance St Helena’s economic prospects and have </w:t>
      </w:r>
      <w:r w:rsidRPr="00EE09D4">
        <w:rPr>
          <w:rFonts w:ascii="Arial" w:hAnsi="Arial" w:cs="Arial"/>
          <w:sz w:val="22"/>
          <w:szCs w:val="22"/>
        </w:rPr>
        <w:lastRenderedPageBreak/>
        <w:t xml:space="preserve">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290351ED" w14:textId="5008AC3B" w:rsidR="00A05B0F" w:rsidRPr="00EE09D4" w:rsidRDefault="00EE09D4" w:rsidP="00EE09D4">
      <w:pPr>
        <w:pStyle w:val="Default"/>
        <w:numPr>
          <w:ilvl w:val="1"/>
          <w:numId w:val="27"/>
        </w:numPr>
        <w:spacing w:after="120"/>
        <w:jc w:val="both"/>
        <w:rPr>
          <w:rFonts w:ascii="Arial" w:hAnsi="Arial" w:cs="Arial"/>
          <w:sz w:val="22"/>
          <w:szCs w:val="22"/>
        </w:rPr>
      </w:pPr>
      <w:r w:rsidRPr="00EE09D4">
        <w:rPr>
          <w:rFonts w:ascii="Arial" w:hAnsi="Arial" w:cs="Arial"/>
        </w:rPr>
        <w:t xml:space="preserve">The Public Service has implemented the Fit for the Future Programme.  The Vision for the Programme </w:t>
      </w:r>
      <w:proofErr w:type="spellStart"/>
      <w:r w:rsidRPr="00EE09D4">
        <w:rPr>
          <w:rFonts w:ascii="Arial" w:hAnsi="Arial" w:cs="Arial"/>
        </w:rPr>
        <w:t>is:</w:t>
      </w:r>
      <w:r w:rsidR="00A05B0F" w:rsidRPr="00EE09D4">
        <w:rPr>
          <w:rFonts w:ascii="Arial" w:hAnsi="Arial" w:cs="Arial"/>
          <w:i/>
        </w:rPr>
        <w:t>Good</w:t>
      </w:r>
      <w:proofErr w:type="spellEnd"/>
      <w:r w:rsidR="00A05B0F" w:rsidRPr="00EE09D4">
        <w:rPr>
          <w:rFonts w:ascii="Arial" w:hAnsi="Arial" w:cs="Arial"/>
          <w:i/>
        </w:rPr>
        <w:t xml:space="preserve"> public services are vital for an inclusive economy, a fair society and for people to live fulfilling lives.  We will create a Public Service on St Helena that is equipped to deal with present and future challenges, provides a solid foundation for a fair economy and society, and is able to make the most of potential opportunities.</w:t>
      </w:r>
    </w:p>
    <w:p w14:paraId="7F6AB98D" w14:textId="47F79BB0" w:rsidR="00A05B0F" w:rsidRPr="00A05B0F" w:rsidRDefault="00A05B0F" w:rsidP="00A933EB">
      <w:pPr>
        <w:pStyle w:val="BodyTextIndent"/>
        <w:spacing w:line="240" w:lineRule="auto"/>
        <w:ind w:left="435"/>
        <w:jc w:val="both"/>
        <w:rPr>
          <w:rFonts w:ascii="Arial" w:hAnsi="Arial" w:cs="Arial"/>
        </w:rPr>
      </w:pPr>
      <w:r w:rsidRPr="002F5805">
        <w:rPr>
          <w:rFonts w:ascii="Arial" w:hAnsi="Arial" w:cs="Arial"/>
        </w:rPr>
        <w:t xml:space="preserve">Central to this programme </w:t>
      </w:r>
      <w:r>
        <w:rPr>
          <w:rFonts w:ascii="Arial" w:hAnsi="Arial" w:cs="Arial"/>
        </w:rPr>
        <w:t>is</w:t>
      </w:r>
      <w:r w:rsidRPr="002F5805">
        <w:rPr>
          <w:rFonts w:ascii="Arial" w:hAnsi="Arial" w:cs="Arial"/>
        </w:rPr>
        <w:t xml:space="preserve"> the re-structuring of functions and directorates</w:t>
      </w:r>
      <w:r>
        <w:rPr>
          <w:rFonts w:ascii="Arial" w:hAnsi="Arial" w:cs="Arial"/>
        </w:rPr>
        <w:t xml:space="preserve"> to ensure the Public Service is </w:t>
      </w:r>
      <w:r w:rsidRPr="00A05B0F">
        <w:rPr>
          <w:rFonts w:ascii="Arial" w:hAnsi="Arial" w:cs="Arial"/>
        </w:rPr>
        <w:t>able to meet current and future challenges whilst continu</w:t>
      </w:r>
      <w:r>
        <w:rPr>
          <w:rFonts w:ascii="Arial" w:hAnsi="Arial" w:cs="Arial"/>
        </w:rPr>
        <w:t>ing to deliver quality services to the</w:t>
      </w:r>
      <w:r w:rsidRPr="00A05B0F">
        <w:rPr>
          <w:rFonts w:ascii="Arial" w:hAnsi="Arial" w:cs="Arial"/>
        </w:rPr>
        <w:t xml:space="preserve"> community.  As part of this, </w:t>
      </w:r>
      <w:r>
        <w:rPr>
          <w:rFonts w:ascii="Arial" w:hAnsi="Arial" w:cs="Arial"/>
        </w:rPr>
        <w:t>the Public Service is seeking to e</w:t>
      </w:r>
      <w:r w:rsidRPr="00A05B0F">
        <w:rPr>
          <w:rFonts w:ascii="Arial" w:hAnsi="Arial" w:cs="Arial"/>
        </w:rPr>
        <w:t>nsure:</w:t>
      </w:r>
    </w:p>
    <w:p w14:paraId="3C5D48DD" w14:textId="77777777" w:rsidR="00A05B0F" w:rsidRPr="00A05B0F" w:rsidRDefault="00A05B0F" w:rsidP="00A933EB">
      <w:pPr>
        <w:pStyle w:val="BodyTextIndent"/>
        <w:numPr>
          <w:ilvl w:val="0"/>
          <w:numId w:val="18"/>
        </w:numPr>
        <w:spacing w:line="240" w:lineRule="auto"/>
        <w:ind w:left="1155"/>
        <w:jc w:val="both"/>
        <w:rPr>
          <w:rFonts w:ascii="Arial" w:hAnsi="Arial" w:cs="Arial"/>
        </w:rPr>
      </w:pPr>
      <w:r w:rsidRPr="00A05B0F">
        <w:rPr>
          <w:rFonts w:ascii="Arial" w:hAnsi="Arial" w:cs="Arial"/>
        </w:rPr>
        <w:t xml:space="preserve">There is not an over-reliance on the Public Service; </w:t>
      </w:r>
    </w:p>
    <w:p w14:paraId="61C11CD3" w14:textId="77777777" w:rsidR="00A05B0F" w:rsidRPr="00A05B0F" w:rsidRDefault="00A05B0F" w:rsidP="00A933EB">
      <w:pPr>
        <w:pStyle w:val="BodyTextIndent"/>
        <w:numPr>
          <w:ilvl w:val="0"/>
          <w:numId w:val="18"/>
        </w:numPr>
        <w:spacing w:line="240" w:lineRule="auto"/>
        <w:ind w:left="1155"/>
        <w:jc w:val="both"/>
        <w:rPr>
          <w:rFonts w:ascii="Arial" w:hAnsi="Arial" w:cs="Arial"/>
        </w:rPr>
      </w:pPr>
      <w:r w:rsidRPr="00A05B0F">
        <w:rPr>
          <w:rFonts w:ascii="Arial" w:hAnsi="Arial" w:cs="Arial"/>
        </w:rPr>
        <w:t xml:space="preserve">That we improve the experience of our customers and employees; </w:t>
      </w:r>
    </w:p>
    <w:p w14:paraId="15D66560" w14:textId="77777777" w:rsidR="00A05B0F" w:rsidRDefault="00A05B0F" w:rsidP="00A933EB">
      <w:pPr>
        <w:pStyle w:val="BodyTextIndent"/>
        <w:numPr>
          <w:ilvl w:val="0"/>
          <w:numId w:val="18"/>
        </w:numPr>
        <w:spacing w:line="240" w:lineRule="auto"/>
        <w:ind w:left="1155"/>
        <w:jc w:val="both"/>
        <w:rPr>
          <w:rFonts w:ascii="Arial" w:hAnsi="Arial" w:cs="Arial"/>
        </w:rPr>
      </w:pPr>
      <w:r w:rsidRPr="00A05B0F">
        <w:rPr>
          <w:rFonts w:ascii="Arial" w:hAnsi="Arial" w:cs="Arial"/>
        </w:rPr>
        <w:t xml:space="preserve">That we identify efficiencies and better ways of working; and </w:t>
      </w:r>
    </w:p>
    <w:p w14:paraId="25B7A9E3" w14:textId="5CFBCE4D" w:rsidR="00A05B0F" w:rsidRPr="00A05B0F" w:rsidRDefault="00A05B0F" w:rsidP="00A933EB">
      <w:pPr>
        <w:pStyle w:val="BodyTextIndent"/>
        <w:numPr>
          <w:ilvl w:val="0"/>
          <w:numId w:val="18"/>
        </w:numPr>
        <w:spacing w:line="240" w:lineRule="auto"/>
        <w:ind w:left="1155"/>
        <w:jc w:val="both"/>
        <w:rPr>
          <w:rFonts w:ascii="Arial" w:hAnsi="Arial" w:cs="Arial"/>
        </w:rPr>
      </w:pPr>
      <w:r w:rsidRPr="00A05B0F">
        <w:rPr>
          <w:rFonts w:ascii="Arial" w:hAnsi="Arial" w:cs="Arial"/>
        </w:rPr>
        <w:t>That we are fit for the future and whatever that may bring.</w:t>
      </w:r>
    </w:p>
    <w:p w14:paraId="1B59EE86" w14:textId="6B1AA33A" w:rsidR="005A25CB" w:rsidRDefault="005A25CB" w:rsidP="00A933EB">
      <w:pPr>
        <w:pStyle w:val="BodyTextIndent"/>
        <w:spacing w:line="240" w:lineRule="auto"/>
        <w:ind w:left="435"/>
        <w:jc w:val="both"/>
        <w:rPr>
          <w:rFonts w:ascii="Arial" w:hAnsi="Arial" w:cs="Arial"/>
        </w:rPr>
      </w:pPr>
      <w:r w:rsidRPr="00310250">
        <w:rPr>
          <w:rFonts w:ascii="Arial" w:hAnsi="Arial" w:cs="Arial"/>
        </w:rPr>
        <w:t xml:space="preserve">There are </w:t>
      </w:r>
      <w:r w:rsidR="00582C2D">
        <w:rPr>
          <w:rFonts w:ascii="Arial" w:hAnsi="Arial" w:cs="Arial"/>
        </w:rPr>
        <w:t xml:space="preserve">a number of </w:t>
      </w:r>
      <w:r w:rsidR="00E80224">
        <w:rPr>
          <w:rFonts w:ascii="Arial" w:hAnsi="Arial" w:cs="Arial"/>
        </w:rPr>
        <w:t xml:space="preserve">Portfolios, led by a Portfolio Director, </w:t>
      </w:r>
      <w:r w:rsidRPr="00310250">
        <w:rPr>
          <w:rFonts w:ascii="Arial" w:hAnsi="Arial" w:cs="Arial"/>
        </w:rPr>
        <w:t xml:space="preserve">reporting to </w:t>
      </w:r>
      <w:r w:rsidR="00D77C83">
        <w:rPr>
          <w:rFonts w:ascii="Arial" w:hAnsi="Arial" w:cs="Arial"/>
        </w:rPr>
        <w:t>the Chief Secretary who is the H</w:t>
      </w:r>
      <w:r w:rsidRPr="00310250">
        <w:rPr>
          <w:rFonts w:ascii="Arial" w:hAnsi="Arial" w:cs="Arial"/>
        </w:rPr>
        <w:t xml:space="preserve">ead of the </w:t>
      </w:r>
      <w:r w:rsidR="00D77C83">
        <w:rPr>
          <w:rFonts w:ascii="Arial" w:hAnsi="Arial" w:cs="Arial"/>
        </w:rPr>
        <w:t xml:space="preserve">Public </w:t>
      </w:r>
      <w:r w:rsidRPr="00310250">
        <w:rPr>
          <w:rFonts w:ascii="Arial" w:hAnsi="Arial" w:cs="Arial"/>
        </w:rPr>
        <w:t>Service</w:t>
      </w:r>
      <w:r w:rsidR="006117A0">
        <w:rPr>
          <w:rFonts w:ascii="Arial" w:hAnsi="Arial" w:cs="Arial"/>
        </w:rPr>
        <w:t xml:space="preserve">: </w:t>
      </w:r>
      <w:r w:rsidR="00E80224">
        <w:rPr>
          <w:rFonts w:ascii="Arial" w:hAnsi="Arial" w:cs="Arial"/>
        </w:rPr>
        <w:t>Treasury</w:t>
      </w:r>
      <w:r w:rsidR="006117A0">
        <w:rPr>
          <w:rFonts w:ascii="Arial" w:hAnsi="Arial" w:cs="Arial"/>
        </w:rPr>
        <w:t>,</w:t>
      </w:r>
      <w:r w:rsidR="00582C2D">
        <w:rPr>
          <w:rFonts w:ascii="Arial" w:hAnsi="Arial" w:cs="Arial"/>
        </w:rPr>
        <w:t xml:space="preserve"> Economic Development</w:t>
      </w:r>
      <w:r w:rsidR="006117A0">
        <w:rPr>
          <w:rFonts w:ascii="Arial" w:hAnsi="Arial" w:cs="Arial"/>
        </w:rPr>
        <w:t>;</w:t>
      </w:r>
      <w:r w:rsidR="00E80224">
        <w:rPr>
          <w:rFonts w:ascii="Arial" w:hAnsi="Arial" w:cs="Arial"/>
        </w:rPr>
        <w:t xml:space="preserve"> </w:t>
      </w:r>
      <w:r w:rsidRPr="00310250">
        <w:rPr>
          <w:rFonts w:ascii="Arial" w:hAnsi="Arial" w:cs="Arial"/>
        </w:rPr>
        <w:t>Education</w:t>
      </w:r>
      <w:r w:rsidR="00E80224">
        <w:rPr>
          <w:rFonts w:ascii="Arial" w:hAnsi="Arial" w:cs="Arial"/>
        </w:rPr>
        <w:t xml:space="preserve">, Skills </w:t>
      </w:r>
      <w:r w:rsidRPr="00310250">
        <w:rPr>
          <w:rFonts w:ascii="Arial" w:hAnsi="Arial" w:cs="Arial"/>
        </w:rPr>
        <w:t>and Employment</w:t>
      </w:r>
      <w:r w:rsidR="006117A0">
        <w:rPr>
          <w:rFonts w:ascii="Arial" w:hAnsi="Arial" w:cs="Arial"/>
        </w:rPr>
        <w:t xml:space="preserve">; </w:t>
      </w:r>
      <w:r w:rsidRPr="00310250">
        <w:rPr>
          <w:rFonts w:ascii="Arial" w:hAnsi="Arial" w:cs="Arial"/>
        </w:rPr>
        <w:t>Health</w:t>
      </w:r>
      <w:r w:rsidR="00E80224">
        <w:rPr>
          <w:rFonts w:ascii="Arial" w:hAnsi="Arial" w:cs="Arial"/>
        </w:rPr>
        <w:t xml:space="preserve"> and </w:t>
      </w:r>
      <w:r w:rsidR="00DE3AEB">
        <w:rPr>
          <w:rFonts w:ascii="Arial" w:hAnsi="Arial" w:cs="Arial"/>
        </w:rPr>
        <w:t>Social Care</w:t>
      </w:r>
      <w:r w:rsidR="006117A0">
        <w:rPr>
          <w:rFonts w:ascii="Arial" w:hAnsi="Arial" w:cs="Arial"/>
        </w:rPr>
        <w:t xml:space="preserve">; </w:t>
      </w:r>
      <w:r w:rsidR="00E80224" w:rsidRPr="00310250">
        <w:rPr>
          <w:rFonts w:ascii="Arial" w:hAnsi="Arial" w:cs="Arial"/>
        </w:rPr>
        <w:t>Environment</w:t>
      </w:r>
      <w:r w:rsidRPr="00310250">
        <w:rPr>
          <w:rFonts w:ascii="Arial" w:hAnsi="Arial" w:cs="Arial"/>
        </w:rPr>
        <w:t xml:space="preserve"> Natural Resources</w:t>
      </w:r>
      <w:r w:rsidR="00E80224">
        <w:rPr>
          <w:rFonts w:ascii="Arial" w:hAnsi="Arial" w:cs="Arial"/>
        </w:rPr>
        <w:t xml:space="preserve"> and Planning</w:t>
      </w:r>
      <w:r w:rsidR="006117A0">
        <w:rPr>
          <w:rFonts w:ascii="Arial" w:hAnsi="Arial" w:cs="Arial"/>
        </w:rPr>
        <w:t>;</w:t>
      </w:r>
      <w:r w:rsidR="00E80224">
        <w:rPr>
          <w:rFonts w:ascii="Arial" w:hAnsi="Arial" w:cs="Arial"/>
        </w:rPr>
        <w:t xml:space="preserve"> and Safety</w:t>
      </w:r>
      <w:r w:rsidR="00F93E12">
        <w:rPr>
          <w:rFonts w:ascii="Arial" w:hAnsi="Arial" w:cs="Arial"/>
        </w:rPr>
        <w:t>, Security</w:t>
      </w:r>
      <w:r w:rsidR="00E80224">
        <w:rPr>
          <w:rFonts w:ascii="Arial" w:hAnsi="Arial" w:cs="Arial"/>
        </w:rPr>
        <w:t xml:space="preserve"> and Home Affairs.  The Central Support Service led by the Deputy Chief Secretary </w:t>
      </w:r>
      <w:r w:rsidR="00F93E12">
        <w:rPr>
          <w:rFonts w:ascii="Arial" w:hAnsi="Arial" w:cs="Arial"/>
        </w:rPr>
        <w:t xml:space="preserve">undertakes the full range of </w:t>
      </w:r>
      <w:r w:rsidR="006117A0">
        <w:rPr>
          <w:rFonts w:ascii="Arial" w:hAnsi="Arial" w:cs="Arial"/>
        </w:rPr>
        <w:t>‘</w:t>
      </w:r>
      <w:r w:rsidR="00A5787E">
        <w:rPr>
          <w:rFonts w:ascii="Arial" w:hAnsi="Arial" w:cs="Arial"/>
        </w:rPr>
        <w:t>organisational administration</w:t>
      </w:r>
      <w:r w:rsidR="006117A0">
        <w:rPr>
          <w:rFonts w:ascii="Arial" w:hAnsi="Arial" w:cs="Arial"/>
        </w:rPr>
        <w:t>’</w:t>
      </w:r>
      <w:r w:rsidR="00A5787E">
        <w:rPr>
          <w:rFonts w:ascii="Arial" w:hAnsi="Arial" w:cs="Arial"/>
        </w:rPr>
        <w:t xml:space="preserve"> in support of the five Portfolios</w:t>
      </w:r>
      <w:r w:rsidRPr="00310250">
        <w:rPr>
          <w:rFonts w:ascii="Arial" w:hAnsi="Arial" w:cs="Arial"/>
        </w:rPr>
        <w:t>.</w:t>
      </w:r>
    </w:p>
    <w:p w14:paraId="1059DA1B" w14:textId="57F6BCA0" w:rsidR="004D30CA" w:rsidRPr="00A45C13" w:rsidRDefault="00F1540A" w:rsidP="00A933EB">
      <w:pPr>
        <w:pStyle w:val="Default"/>
        <w:numPr>
          <w:ilvl w:val="1"/>
          <w:numId w:val="27"/>
        </w:numPr>
        <w:spacing w:after="120"/>
        <w:jc w:val="both"/>
        <w:rPr>
          <w:rFonts w:ascii="Arial" w:hAnsi="Arial" w:cs="Arial"/>
          <w:sz w:val="22"/>
          <w:szCs w:val="22"/>
        </w:rPr>
      </w:pPr>
      <w:r w:rsidRPr="00A45C13">
        <w:rPr>
          <w:rFonts w:ascii="Arial" w:hAnsi="Arial" w:cs="Arial"/>
          <w:sz w:val="22"/>
          <w:szCs w:val="22"/>
        </w:rPr>
        <w:t xml:space="preserve">The </w:t>
      </w:r>
      <w:r w:rsidR="00E03E1C" w:rsidRPr="00A45C13">
        <w:rPr>
          <w:rFonts w:ascii="Arial" w:hAnsi="Arial" w:cs="Arial"/>
          <w:sz w:val="22"/>
          <w:szCs w:val="22"/>
        </w:rPr>
        <w:t>Safety</w:t>
      </w:r>
      <w:r w:rsidR="00F93E12" w:rsidRPr="00A45C13">
        <w:rPr>
          <w:rFonts w:ascii="Arial" w:hAnsi="Arial" w:cs="Arial"/>
          <w:sz w:val="22"/>
          <w:szCs w:val="22"/>
        </w:rPr>
        <w:t xml:space="preserve">, Security </w:t>
      </w:r>
      <w:r w:rsidR="00E03E1C" w:rsidRPr="00A45C13">
        <w:rPr>
          <w:rFonts w:ascii="Arial" w:hAnsi="Arial" w:cs="Arial"/>
          <w:sz w:val="22"/>
          <w:szCs w:val="22"/>
        </w:rPr>
        <w:t>and Home Affairs</w:t>
      </w:r>
      <w:r w:rsidRPr="00A45C13">
        <w:rPr>
          <w:rFonts w:ascii="Arial" w:hAnsi="Arial" w:cs="Arial"/>
          <w:sz w:val="22"/>
          <w:szCs w:val="22"/>
        </w:rPr>
        <w:t xml:space="preserve"> </w:t>
      </w:r>
      <w:r w:rsidR="00A5787E" w:rsidRPr="00A45C13">
        <w:rPr>
          <w:rFonts w:ascii="Arial" w:hAnsi="Arial" w:cs="Arial"/>
          <w:sz w:val="22"/>
          <w:szCs w:val="22"/>
        </w:rPr>
        <w:t>Portfolio</w:t>
      </w:r>
      <w:r w:rsidRPr="00A45C13">
        <w:rPr>
          <w:rFonts w:ascii="Arial" w:hAnsi="Arial" w:cs="Arial"/>
          <w:sz w:val="22"/>
          <w:szCs w:val="22"/>
        </w:rPr>
        <w:t xml:space="preserve"> is</w:t>
      </w:r>
      <w:r w:rsidR="00E03E1C" w:rsidRPr="00A45C13">
        <w:rPr>
          <w:rFonts w:ascii="Arial" w:hAnsi="Arial" w:cs="Arial"/>
          <w:sz w:val="22"/>
          <w:szCs w:val="22"/>
        </w:rPr>
        <w:t xml:space="preserve"> at the front line of keeping citizens safe and the Island secure and plays a fundamental role in the security and economic prosperity of St Helena.  </w:t>
      </w:r>
      <w:r w:rsidR="00582C2D">
        <w:rPr>
          <w:rFonts w:ascii="Arial" w:hAnsi="Arial" w:cs="Arial"/>
          <w:sz w:val="22"/>
          <w:szCs w:val="22"/>
        </w:rPr>
        <w:t xml:space="preserve">It covers 14 separate functions. </w:t>
      </w:r>
      <w:r w:rsidR="00E03E1C" w:rsidRPr="00A45C13">
        <w:rPr>
          <w:rFonts w:ascii="Arial" w:hAnsi="Arial" w:cs="Arial"/>
          <w:sz w:val="22"/>
          <w:szCs w:val="22"/>
        </w:rPr>
        <w:t>Close working with Health and Social Care is required to help to tackle social issues that can eventually lead to an emergency response.  St Helena will prosper significantly from being open, engaged and connected to the rest of the world.  Engagement with the world creates tremendous opportunities for individuals and the Island’s collective prosperity.  The strategic focus of Safety</w:t>
      </w:r>
      <w:r w:rsidR="00841CC7" w:rsidRPr="00A45C13">
        <w:rPr>
          <w:rFonts w:ascii="Arial" w:hAnsi="Arial" w:cs="Arial"/>
          <w:sz w:val="22"/>
          <w:szCs w:val="22"/>
        </w:rPr>
        <w:t>, Security</w:t>
      </w:r>
      <w:r w:rsidR="00E03E1C" w:rsidRPr="00A45C13">
        <w:rPr>
          <w:rFonts w:ascii="Arial" w:hAnsi="Arial" w:cs="Arial"/>
          <w:sz w:val="22"/>
          <w:szCs w:val="22"/>
        </w:rPr>
        <w:t xml:space="preserve"> and Home Affairs is to identify and proactively attend to the vulnerabilities that come with global connectedness, and to ensure island and community safety.  </w:t>
      </w:r>
      <w:r w:rsidRPr="00A45C13">
        <w:rPr>
          <w:rFonts w:ascii="Arial" w:hAnsi="Arial" w:cs="Arial"/>
          <w:sz w:val="22"/>
          <w:szCs w:val="22"/>
        </w:rPr>
        <w:t xml:space="preserve"> </w:t>
      </w:r>
    </w:p>
    <w:p w14:paraId="5A2A3CC8" w14:textId="30F6B01A" w:rsidR="006117A0" w:rsidRDefault="00A45C13" w:rsidP="00A933EB">
      <w:pPr>
        <w:spacing w:after="120" w:line="240" w:lineRule="auto"/>
        <w:ind w:left="435"/>
        <w:jc w:val="both"/>
        <w:rPr>
          <w:rFonts w:ascii="Arial" w:hAnsi="Arial" w:cs="Arial"/>
          <w:color w:val="000000" w:themeColor="text1"/>
        </w:rPr>
      </w:pPr>
      <w:r>
        <w:rPr>
          <w:rFonts w:ascii="Arial" w:hAnsi="Arial" w:cs="Arial"/>
          <w:color w:val="000000" w:themeColor="text1"/>
        </w:rPr>
        <w:t xml:space="preserve">This role will </w:t>
      </w:r>
      <w:r w:rsidR="00D352DE">
        <w:rPr>
          <w:rFonts w:ascii="Arial" w:hAnsi="Arial" w:cs="Arial"/>
          <w:color w:val="000000" w:themeColor="text1"/>
        </w:rPr>
        <w:t xml:space="preserve">now </w:t>
      </w:r>
      <w:r>
        <w:rPr>
          <w:rFonts w:ascii="Arial" w:hAnsi="Arial" w:cs="Arial"/>
          <w:color w:val="000000" w:themeColor="text1"/>
        </w:rPr>
        <w:t>manage the Customs and Immigrations Services for St. Helena and the post holder will take on the responsibilities as the Head of Customs and the Chief Immigration Officer.  The Fit for the Future Programme has identified the need for these two services to be combined and this role will also have responsibility for leading the process that will deliver this new service.</w:t>
      </w:r>
    </w:p>
    <w:p w14:paraId="2C80857D" w14:textId="28C83771" w:rsidR="00610606" w:rsidRPr="00A45C13" w:rsidRDefault="001A3E3C" w:rsidP="00A933EB">
      <w:pPr>
        <w:pStyle w:val="Default"/>
        <w:numPr>
          <w:ilvl w:val="1"/>
          <w:numId w:val="27"/>
        </w:numPr>
        <w:spacing w:after="120"/>
        <w:jc w:val="both"/>
        <w:rPr>
          <w:rFonts w:ascii="Arial" w:hAnsi="Arial" w:cs="Arial"/>
          <w:sz w:val="22"/>
          <w:szCs w:val="22"/>
        </w:rPr>
      </w:pPr>
      <w:r w:rsidRPr="00A45C13">
        <w:rPr>
          <w:rFonts w:ascii="Arial" w:hAnsi="Arial" w:cs="Arial"/>
          <w:sz w:val="22"/>
          <w:szCs w:val="22"/>
        </w:rPr>
        <w:t>The Public Service has entered an exciting phase in the development of St Helena Island.  To help us deliver the changes needed in our organisation we are seeking</w:t>
      </w:r>
      <w:r w:rsidR="00A5787E" w:rsidRPr="00A45C13">
        <w:rPr>
          <w:rFonts w:ascii="Arial" w:hAnsi="Arial" w:cs="Arial"/>
          <w:sz w:val="22"/>
          <w:szCs w:val="22"/>
        </w:rPr>
        <w:t xml:space="preserve"> a</w:t>
      </w:r>
      <w:r w:rsidR="008D1C98" w:rsidRPr="00A45C13">
        <w:rPr>
          <w:rFonts w:ascii="Arial" w:hAnsi="Arial" w:cs="Arial"/>
          <w:sz w:val="22"/>
          <w:szCs w:val="22"/>
        </w:rPr>
        <w:t xml:space="preserve"> </w:t>
      </w:r>
      <w:r w:rsidR="00610606" w:rsidRPr="00A45C13">
        <w:rPr>
          <w:rFonts w:ascii="Arial" w:hAnsi="Arial" w:cs="Arial"/>
          <w:sz w:val="22"/>
          <w:szCs w:val="22"/>
        </w:rPr>
        <w:t xml:space="preserve">highly motivated individual with significant </w:t>
      </w:r>
      <w:r w:rsidR="00C27B08">
        <w:rPr>
          <w:rFonts w:ascii="Arial" w:hAnsi="Arial" w:cs="Arial"/>
          <w:sz w:val="22"/>
          <w:szCs w:val="22"/>
        </w:rPr>
        <w:t>customs, immigration or Border Force</w:t>
      </w:r>
      <w:r w:rsidR="00BB0A45" w:rsidRPr="00A45C13">
        <w:rPr>
          <w:rFonts w:ascii="Arial" w:hAnsi="Arial" w:cs="Arial"/>
          <w:sz w:val="22"/>
          <w:szCs w:val="22"/>
        </w:rPr>
        <w:t xml:space="preserve"> leadership experience</w:t>
      </w:r>
      <w:r w:rsidR="00610606" w:rsidRPr="00A45C13">
        <w:rPr>
          <w:rFonts w:ascii="Arial" w:hAnsi="Arial" w:cs="Arial"/>
          <w:sz w:val="22"/>
          <w:szCs w:val="22"/>
        </w:rPr>
        <w:t>.   As an influential member of the Public Service you will be a high performing individual w</w:t>
      </w:r>
      <w:r w:rsidR="00242846" w:rsidRPr="00A45C13">
        <w:rPr>
          <w:rFonts w:ascii="Arial" w:hAnsi="Arial" w:cs="Arial"/>
          <w:sz w:val="22"/>
          <w:szCs w:val="22"/>
        </w:rPr>
        <w:t xml:space="preserve">ho operates with integrity and openness and has the </w:t>
      </w:r>
      <w:r w:rsidR="00D352DE">
        <w:rPr>
          <w:rFonts w:ascii="Arial" w:hAnsi="Arial" w:cs="Arial"/>
          <w:sz w:val="22"/>
          <w:szCs w:val="22"/>
        </w:rPr>
        <w:t xml:space="preserve">interpersonal skills, </w:t>
      </w:r>
      <w:r w:rsidR="00242846" w:rsidRPr="00A45C13">
        <w:rPr>
          <w:rFonts w:ascii="Arial" w:hAnsi="Arial" w:cs="Arial"/>
          <w:sz w:val="22"/>
          <w:szCs w:val="22"/>
        </w:rPr>
        <w:t>confidence and credibility to engage and motivate colleagues, partners, elected members and the community</w:t>
      </w:r>
      <w:r w:rsidR="009B12DC" w:rsidRPr="00A45C13">
        <w:rPr>
          <w:rFonts w:ascii="Arial" w:hAnsi="Arial" w:cs="Arial"/>
          <w:sz w:val="22"/>
          <w:szCs w:val="22"/>
        </w:rPr>
        <w:t>,</w:t>
      </w:r>
      <w:r w:rsidR="00242846" w:rsidRPr="00A45C13">
        <w:rPr>
          <w:rFonts w:ascii="Arial" w:hAnsi="Arial" w:cs="Arial"/>
          <w:sz w:val="22"/>
          <w:szCs w:val="22"/>
        </w:rPr>
        <w:t xml:space="preserve"> and you will possess the creativity, resilience and strategic mind-set needed to succeed.</w:t>
      </w:r>
    </w:p>
    <w:p w14:paraId="2EF600D9" w14:textId="5D5A0657" w:rsidR="00A5787E" w:rsidRPr="00A45C13" w:rsidRDefault="00A05B0F" w:rsidP="00A933EB">
      <w:pPr>
        <w:pStyle w:val="Default"/>
        <w:numPr>
          <w:ilvl w:val="1"/>
          <w:numId w:val="27"/>
        </w:numPr>
        <w:spacing w:after="120"/>
        <w:jc w:val="both"/>
        <w:rPr>
          <w:rFonts w:ascii="Arial" w:hAnsi="Arial" w:cs="Arial"/>
          <w:sz w:val="22"/>
          <w:szCs w:val="22"/>
        </w:rPr>
      </w:pPr>
      <w:r w:rsidRPr="00A45C13">
        <w:rPr>
          <w:rFonts w:ascii="Arial" w:hAnsi="Arial" w:cs="Arial"/>
          <w:sz w:val="22"/>
          <w:szCs w:val="22"/>
        </w:rPr>
        <w:t xml:space="preserve">This role is funded by UK Government as the skills </w:t>
      </w:r>
      <w:r w:rsidR="00FE7656" w:rsidRPr="00A45C13">
        <w:rPr>
          <w:rFonts w:ascii="Arial" w:hAnsi="Arial" w:cs="Arial"/>
          <w:sz w:val="22"/>
          <w:szCs w:val="22"/>
        </w:rPr>
        <w:t xml:space="preserve">required </w:t>
      </w:r>
      <w:r w:rsidRPr="00A45C13">
        <w:rPr>
          <w:rFonts w:ascii="Arial" w:hAnsi="Arial" w:cs="Arial"/>
          <w:sz w:val="22"/>
          <w:szCs w:val="22"/>
        </w:rPr>
        <w:t xml:space="preserve">are not currently available on the Island.  Officers employed through this ‘Technical Co-operation </w:t>
      </w:r>
      <w:r w:rsidR="009F7CAD" w:rsidRPr="00A45C13">
        <w:rPr>
          <w:rFonts w:ascii="Arial" w:hAnsi="Arial" w:cs="Arial"/>
          <w:sz w:val="22"/>
          <w:szCs w:val="22"/>
        </w:rPr>
        <w:t xml:space="preserve">(TC) </w:t>
      </w:r>
      <w:r w:rsidRPr="00A45C13">
        <w:rPr>
          <w:rFonts w:ascii="Arial" w:hAnsi="Arial" w:cs="Arial"/>
          <w:sz w:val="22"/>
          <w:szCs w:val="22"/>
        </w:rPr>
        <w:t xml:space="preserve">Programme’ are expected to share their knowledge and </w:t>
      </w:r>
      <w:r w:rsidR="00A5787E" w:rsidRPr="00A45C13">
        <w:rPr>
          <w:rFonts w:ascii="Arial" w:hAnsi="Arial" w:cs="Arial"/>
          <w:sz w:val="22"/>
          <w:szCs w:val="22"/>
        </w:rPr>
        <w:t xml:space="preserve">skills beyond the workplace to ensure their time on </w:t>
      </w:r>
      <w:r w:rsidR="00F228B1" w:rsidRPr="00A45C13">
        <w:rPr>
          <w:rFonts w:ascii="Arial" w:hAnsi="Arial" w:cs="Arial"/>
          <w:sz w:val="22"/>
          <w:szCs w:val="22"/>
        </w:rPr>
        <w:t>St Helena</w:t>
      </w:r>
      <w:r w:rsidR="00A5787E" w:rsidRPr="00A45C13">
        <w:rPr>
          <w:rFonts w:ascii="Arial" w:hAnsi="Arial" w:cs="Arial"/>
          <w:sz w:val="22"/>
          <w:szCs w:val="22"/>
        </w:rPr>
        <w:t xml:space="preserve"> has</w:t>
      </w:r>
      <w:r w:rsidRPr="00A45C13">
        <w:rPr>
          <w:rFonts w:ascii="Arial" w:hAnsi="Arial" w:cs="Arial"/>
          <w:sz w:val="22"/>
          <w:szCs w:val="22"/>
        </w:rPr>
        <w:t xml:space="preserve"> the broadest benefit.</w:t>
      </w:r>
      <w:r w:rsidR="00CC796A" w:rsidRPr="00A45C13">
        <w:rPr>
          <w:rFonts w:ascii="Arial" w:hAnsi="Arial" w:cs="Arial"/>
          <w:sz w:val="22"/>
          <w:szCs w:val="22"/>
        </w:rPr>
        <w:t xml:space="preserve">  It is important that you have the right values and attitude and </w:t>
      </w:r>
      <w:r w:rsidR="00F228B1" w:rsidRPr="00A45C13">
        <w:rPr>
          <w:rFonts w:ascii="Arial" w:hAnsi="Arial" w:cs="Arial"/>
          <w:sz w:val="22"/>
          <w:szCs w:val="22"/>
        </w:rPr>
        <w:t xml:space="preserve">that you </w:t>
      </w:r>
      <w:r w:rsidR="00FE7656" w:rsidRPr="00A45C13">
        <w:rPr>
          <w:rFonts w:ascii="Arial" w:hAnsi="Arial" w:cs="Arial"/>
          <w:sz w:val="22"/>
          <w:szCs w:val="22"/>
        </w:rPr>
        <w:t xml:space="preserve">are motivated by </w:t>
      </w:r>
      <w:r w:rsidR="00CC796A" w:rsidRPr="00A45C13">
        <w:rPr>
          <w:rFonts w:ascii="Arial" w:hAnsi="Arial" w:cs="Arial"/>
          <w:sz w:val="22"/>
          <w:szCs w:val="22"/>
        </w:rPr>
        <w:t>want</w:t>
      </w:r>
      <w:r w:rsidR="00FE7656" w:rsidRPr="00A45C13">
        <w:rPr>
          <w:rFonts w:ascii="Arial" w:hAnsi="Arial" w:cs="Arial"/>
          <w:sz w:val="22"/>
          <w:szCs w:val="22"/>
        </w:rPr>
        <w:t>ing</w:t>
      </w:r>
      <w:r w:rsidR="00CC796A" w:rsidRPr="00A45C13">
        <w:rPr>
          <w:rFonts w:ascii="Arial" w:hAnsi="Arial" w:cs="Arial"/>
          <w:sz w:val="22"/>
          <w:szCs w:val="22"/>
        </w:rPr>
        <w:t xml:space="preserve"> to </w:t>
      </w:r>
      <w:r w:rsidR="00A5787E" w:rsidRPr="00A45C13">
        <w:rPr>
          <w:rFonts w:ascii="Arial" w:hAnsi="Arial" w:cs="Arial"/>
          <w:sz w:val="22"/>
          <w:szCs w:val="22"/>
        </w:rPr>
        <w:t>make a difference and contribute</w:t>
      </w:r>
      <w:r w:rsidR="00CC796A" w:rsidRPr="00A45C13">
        <w:rPr>
          <w:rFonts w:ascii="Arial" w:hAnsi="Arial" w:cs="Arial"/>
          <w:sz w:val="22"/>
          <w:szCs w:val="22"/>
        </w:rPr>
        <w:t xml:space="preserve"> to our small island community.  </w:t>
      </w:r>
      <w:r w:rsidR="00AA3E00" w:rsidRPr="00A45C13">
        <w:rPr>
          <w:rFonts w:ascii="Arial" w:hAnsi="Arial" w:cs="Arial"/>
          <w:sz w:val="22"/>
          <w:szCs w:val="22"/>
        </w:rPr>
        <w:t>You will need to be adaptable</w:t>
      </w:r>
      <w:r w:rsidR="00E1384B" w:rsidRPr="00A45C13">
        <w:rPr>
          <w:rFonts w:ascii="Arial" w:hAnsi="Arial" w:cs="Arial"/>
          <w:sz w:val="22"/>
          <w:szCs w:val="22"/>
        </w:rPr>
        <w:t xml:space="preserve">, be sensitive </w:t>
      </w:r>
      <w:r w:rsidR="00FE7656" w:rsidRPr="00A45C13">
        <w:rPr>
          <w:rFonts w:ascii="Arial" w:hAnsi="Arial" w:cs="Arial"/>
          <w:sz w:val="22"/>
          <w:szCs w:val="22"/>
        </w:rPr>
        <w:t xml:space="preserve">to </w:t>
      </w:r>
      <w:r w:rsidR="00D51444" w:rsidRPr="00A45C13">
        <w:rPr>
          <w:rFonts w:ascii="Arial" w:hAnsi="Arial" w:cs="Arial"/>
          <w:sz w:val="22"/>
          <w:szCs w:val="22"/>
        </w:rPr>
        <w:t xml:space="preserve">the </w:t>
      </w:r>
      <w:r w:rsidR="00FE7656" w:rsidRPr="00A45C13">
        <w:rPr>
          <w:rFonts w:ascii="Arial" w:hAnsi="Arial" w:cs="Arial"/>
          <w:sz w:val="22"/>
          <w:szCs w:val="22"/>
        </w:rPr>
        <w:t xml:space="preserve">local </w:t>
      </w:r>
      <w:r w:rsidR="00D51444" w:rsidRPr="00A45C13">
        <w:rPr>
          <w:rFonts w:ascii="Arial" w:hAnsi="Arial" w:cs="Arial"/>
          <w:sz w:val="22"/>
          <w:szCs w:val="22"/>
        </w:rPr>
        <w:t xml:space="preserve">context and </w:t>
      </w:r>
      <w:r w:rsidR="00FE7656" w:rsidRPr="00A45C13">
        <w:rPr>
          <w:rFonts w:ascii="Arial" w:hAnsi="Arial" w:cs="Arial"/>
          <w:sz w:val="22"/>
          <w:szCs w:val="22"/>
        </w:rPr>
        <w:t>challenges</w:t>
      </w:r>
      <w:r w:rsidR="00D51444" w:rsidRPr="00A45C13">
        <w:rPr>
          <w:rFonts w:ascii="Arial" w:hAnsi="Arial" w:cs="Arial"/>
          <w:sz w:val="22"/>
          <w:szCs w:val="22"/>
        </w:rPr>
        <w:t>,</w:t>
      </w:r>
      <w:r w:rsidR="00FE7656" w:rsidRPr="00A45C13">
        <w:rPr>
          <w:rFonts w:ascii="Arial" w:hAnsi="Arial" w:cs="Arial"/>
          <w:sz w:val="22"/>
          <w:szCs w:val="22"/>
        </w:rPr>
        <w:t xml:space="preserve"> </w:t>
      </w:r>
      <w:r w:rsidR="00AA3E00" w:rsidRPr="00A45C13">
        <w:rPr>
          <w:rFonts w:ascii="Arial" w:hAnsi="Arial" w:cs="Arial"/>
          <w:sz w:val="22"/>
          <w:szCs w:val="22"/>
        </w:rPr>
        <w:t xml:space="preserve">and have the ability to take joy from the simple things in life.  </w:t>
      </w:r>
      <w:r w:rsidR="00CC796A" w:rsidRPr="00A45C13">
        <w:rPr>
          <w:rFonts w:ascii="Arial" w:hAnsi="Arial" w:cs="Arial"/>
          <w:sz w:val="22"/>
          <w:szCs w:val="22"/>
        </w:rPr>
        <w:t xml:space="preserve">This is an excellent </w:t>
      </w:r>
      <w:r w:rsidR="00A5787E" w:rsidRPr="00A45C13">
        <w:rPr>
          <w:rFonts w:ascii="Arial" w:hAnsi="Arial" w:cs="Arial"/>
          <w:sz w:val="22"/>
          <w:szCs w:val="22"/>
        </w:rPr>
        <w:t>opportunity to support, contribute and give back to the island whilst also enjoying the unique lifestyle opportunities the</w:t>
      </w:r>
      <w:r w:rsidR="00AA3E00" w:rsidRPr="00A45C13">
        <w:rPr>
          <w:rFonts w:ascii="Arial" w:hAnsi="Arial" w:cs="Arial"/>
          <w:sz w:val="22"/>
          <w:szCs w:val="22"/>
        </w:rPr>
        <w:t xml:space="preserve"> island can offer you.  </w:t>
      </w:r>
    </w:p>
    <w:p w14:paraId="40958D1C" w14:textId="3179040F" w:rsidR="006F17A1" w:rsidRPr="00345C5C" w:rsidRDefault="006F17A1" w:rsidP="00A933EB">
      <w:pPr>
        <w:pStyle w:val="Heading1"/>
      </w:pPr>
      <w:r w:rsidRPr="00345C5C">
        <w:lastRenderedPageBreak/>
        <w:t>Key Objectives</w:t>
      </w:r>
    </w:p>
    <w:p w14:paraId="49A81478" w14:textId="77F6451A" w:rsidR="006F17A1" w:rsidRPr="00A45C13" w:rsidRDefault="006F17A1" w:rsidP="00A933EB">
      <w:pPr>
        <w:pStyle w:val="Default"/>
        <w:numPr>
          <w:ilvl w:val="1"/>
          <w:numId w:val="27"/>
        </w:numPr>
        <w:spacing w:after="120"/>
        <w:jc w:val="both"/>
        <w:rPr>
          <w:rFonts w:ascii="Arial" w:hAnsi="Arial" w:cs="Arial"/>
          <w:sz w:val="22"/>
          <w:szCs w:val="22"/>
        </w:rPr>
      </w:pPr>
      <w:r w:rsidRPr="00A45C13">
        <w:rPr>
          <w:rFonts w:ascii="Arial" w:hAnsi="Arial" w:cs="Arial"/>
          <w:sz w:val="22"/>
          <w:szCs w:val="22"/>
        </w:rPr>
        <w:t xml:space="preserve">The overall objectives of the post </w:t>
      </w:r>
      <w:r w:rsidR="00F569E6" w:rsidRPr="00A45C13">
        <w:rPr>
          <w:rFonts w:ascii="Arial" w:hAnsi="Arial" w:cs="Arial"/>
          <w:sz w:val="22"/>
          <w:szCs w:val="22"/>
        </w:rPr>
        <w:t xml:space="preserve">during the contractual period </w:t>
      </w:r>
      <w:r w:rsidR="007F127D" w:rsidRPr="00A45C13">
        <w:rPr>
          <w:rFonts w:ascii="Arial" w:hAnsi="Arial" w:cs="Arial"/>
          <w:sz w:val="22"/>
          <w:szCs w:val="22"/>
        </w:rPr>
        <w:t>are as follows:</w:t>
      </w:r>
    </w:p>
    <w:p w14:paraId="424D6F5E" w14:textId="768E5D0F" w:rsidR="00141FBE" w:rsidRDefault="00141FBE" w:rsidP="00141FBE">
      <w:pPr>
        <w:numPr>
          <w:ilvl w:val="0"/>
          <w:numId w:val="16"/>
        </w:numPr>
        <w:spacing w:after="0" w:line="240" w:lineRule="auto"/>
        <w:contextualSpacing/>
        <w:jc w:val="both"/>
        <w:rPr>
          <w:rFonts w:ascii="Arial" w:hAnsi="Arial" w:cs="Arial"/>
        </w:rPr>
      </w:pPr>
      <w:r>
        <w:rPr>
          <w:rFonts w:ascii="Arial" w:hAnsi="Arial" w:cs="Arial"/>
        </w:rPr>
        <w:t>To undertake the s</w:t>
      </w:r>
      <w:r w:rsidRPr="00977D60">
        <w:rPr>
          <w:rFonts w:ascii="Arial" w:hAnsi="Arial" w:cs="Arial"/>
        </w:rPr>
        <w:t xml:space="preserve">trategic and operational command of the </w:t>
      </w:r>
      <w:r w:rsidR="00A45C13">
        <w:rPr>
          <w:rFonts w:ascii="Arial" w:hAnsi="Arial" w:cs="Arial"/>
        </w:rPr>
        <w:t>Customs and Immigration Services,</w:t>
      </w:r>
      <w:r>
        <w:rPr>
          <w:rFonts w:ascii="Arial" w:hAnsi="Arial" w:cs="Arial"/>
        </w:rPr>
        <w:t xml:space="preserve"> ensuring value for money and continuous improvement, and the delivery of a high-quality, fit for purpose service for the community</w:t>
      </w:r>
    </w:p>
    <w:p w14:paraId="2B8CF2AD" w14:textId="3E81DEE2" w:rsidR="00141FBE" w:rsidRDefault="00141FBE" w:rsidP="00141FBE">
      <w:pPr>
        <w:numPr>
          <w:ilvl w:val="0"/>
          <w:numId w:val="16"/>
        </w:numPr>
        <w:spacing w:after="0" w:line="240" w:lineRule="auto"/>
        <w:contextualSpacing/>
        <w:jc w:val="both"/>
        <w:rPr>
          <w:rFonts w:ascii="Arial" w:hAnsi="Arial" w:cs="Arial"/>
        </w:rPr>
      </w:pPr>
      <w:r>
        <w:rPr>
          <w:rFonts w:ascii="Arial" w:hAnsi="Arial" w:cs="Arial"/>
        </w:rPr>
        <w:t xml:space="preserve">To </w:t>
      </w:r>
      <w:r w:rsidR="00A45C13">
        <w:rPr>
          <w:rFonts w:ascii="Arial" w:hAnsi="Arial" w:cs="Arial"/>
        </w:rPr>
        <w:t>l</w:t>
      </w:r>
      <w:r w:rsidR="00A45C13">
        <w:rPr>
          <w:rFonts w:ascii="Arial" w:hAnsi="Arial" w:cs="Arial"/>
          <w:lang w:eastAsia="x-none"/>
        </w:rPr>
        <w:t>ead the transition from separate Customs and Immigration ser</w:t>
      </w:r>
      <w:r w:rsidR="00D352DE">
        <w:rPr>
          <w:rFonts w:ascii="Arial" w:hAnsi="Arial" w:cs="Arial"/>
          <w:lang w:eastAsia="x-none"/>
        </w:rPr>
        <w:t>vices to a combined Department</w:t>
      </w:r>
    </w:p>
    <w:p w14:paraId="2EA3EED2" w14:textId="0E9593C5" w:rsidR="00141FBE" w:rsidRDefault="00141FBE" w:rsidP="00141FBE">
      <w:pPr>
        <w:numPr>
          <w:ilvl w:val="0"/>
          <w:numId w:val="16"/>
        </w:numPr>
        <w:spacing w:after="0" w:line="240" w:lineRule="auto"/>
        <w:contextualSpacing/>
        <w:jc w:val="both"/>
        <w:rPr>
          <w:rFonts w:ascii="Arial" w:hAnsi="Arial" w:cs="Arial"/>
        </w:rPr>
      </w:pPr>
      <w:r>
        <w:rPr>
          <w:rFonts w:ascii="Arial" w:hAnsi="Arial" w:cs="Arial"/>
        </w:rPr>
        <w:t xml:space="preserve">To ensure appropriate workforce and succession plans are in place to develop staff and plan for key posts within the </w:t>
      </w:r>
      <w:r w:rsidR="00D352DE">
        <w:rPr>
          <w:rFonts w:ascii="Arial" w:hAnsi="Arial" w:cs="Arial"/>
        </w:rPr>
        <w:t>Customs and Immigration Department, this will include a successor for the Head of Customs and Immigration</w:t>
      </w:r>
    </w:p>
    <w:p w14:paraId="50C892EF" w14:textId="2D82C2BB" w:rsidR="00141FBE" w:rsidRDefault="00141FBE" w:rsidP="00006898">
      <w:pPr>
        <w:numPr>
          <w:ilvl w:val="0"/>
          <w:numId w:val="16"/>
        </w:numPr>
        <w:spacing w:after="0" w:line="240" w:lineRule="auto"/>
        <w:contextualSpacing/>
        <w:jc w:val="both"/>
        <w:outlineLvl w:val="0"/>
        <w:rPr>
          <w:rFonts w:ascii="Arial" w:hAnsi="Arial" w:cs="Arial"/>
        </w:rPr>
      </w:pPr>
      <w:r w:rsidRPr="00141FBE">
        <w:rPr>
          <w:rFonts w:ascii="Arial" w:hAnsi="Arial" w:cs="Arial"/>
        </w:rPr>
        <w:t xml:space="preserve">To develop and maintain the highest </w:t>
      </w:r>
      <w:r w:rsidRPr="00977D60">
        <w:rPr>
          <w:rFonts w:ascii="Arial" w:hAnsi="Arial" w:cs="Arial"/>
        </w:rPr>
        <w:t xml:space="preserve">standards of </w:t>
      </w:r>
      <w:r>
        <w:rPr>
          <w:rFonts w:ascii="Arial" w:hAnsi="Arial" w:cs="Arial"/>
        </w:rPr>
        <w:t xml:space="preserve">ethics, </w:t>
      </w:r>
      <w:r w:rsidRPr="00977D60">
        <w:rPr>
          <w:rFonts w:ascii="Arial" w:hAnsi="Arial" w:cs="Arial"/>
        </w:rPr>
        <w:t xml:space="preserve">professional behaviour and discipline </w:t>
      </w:r>
      <w:r>
        <w:rPr>
          <w:rFonts w:ascii="Arial" w:hAnsi="Arial" w:cs="Arial"/>
        </w:rPr>
        <w:t xml:space="preserve">for all employees of the </w:t>
      </w:r>
      <w:r w:rsidR="00A45C13">
        <w:rPr>
          <w:rFonts w:ascii="Arial" w:hAnsi="Arial" w:cs="Arial"/>
        </w:rPr>
        <w:t>Customs and Immigration Services</w:t>
      </w:r>
    </w:p>
    <w:p w14:paraId="4E9B3B88" w14:textId="39B9B88F" w:rsidR="00F86095" w:rsidRPr="00141FBE" w:rsidRDefault="00F86095" w:rsidP="00A933EB">
      <w:pPr>
        <w:numPr>
          <w:ilvl w:val="0"/>
          <w:numId w:val="16"/>
        </w:numPr>
        <w:spacing w:after="120" w:line="240" w:lineRule="auto"/>
        <w:contextualSpacing/>
        <w:jc w:val="both"/>
        <w:outlineLvl w:val="0"/>
        <w:rPr>
          <w:rFonts w:ascii="Arial" w:hAnsi="Arial" w:cs="Arial"/>
        </w:rPr>
      </w:pPr>
      <w:r w:rsidRPr="00141FBE">
        <w:rPr>
          <w:rFonts w:ascii="Arial" w:hAnsi="Arial" w:cs="Arial"/>
        </w:rPr>
        <w:t xml:space="preserve">Deliver against the main duties and responsibilities in the attached Job Profile </w:t>
      </w:r>
    </w:p>
    <w:p w14:paraId="4DEACC51" w14:textId="48E68663" w:rsidR="00496537" w:rsidRPr="002F55FA" w:rsidRDefault="00190471" w:rsidP="00A933EB">
      <w:pPr>
        <w:pStyle w:val="Default"/>
        <w:numPr>
          <w:ilvl w:val="1"/>
          <w:numId w:val="27"/>
        </w:numPr>
        <w:spacing w:after="120"/>
        <w:jc w:val="both"/>
        <w:rPr>
          <w:rFonts w:ascii="Arial" w:hAnsi="Arial" w:cs="Arial"/>
          <w:sz w:val="22"/>
          <w:szCs w:val="22"/>
        </w:rPr>
      </w:pPr>
      <w:r w:rsidRPr="002F55FA">
        <w:rPr>
          <w:rFonts w:ascii="Arial" w:hAnsi="Arial" w:cs="Arial"/>
          <w:sz w:val="22"/>
          <w:szCs w:val="22"/>
        </w:rPr>
        <w:t xml:space="preserve">A key objective for </w:t>
      </w:r>
      <w:r w:rsidR="00496537" w:rsidRPr="002F55FA">
        <w:rPr>
          <w:rFonts w:ascii="Arial" w:hAnsi="Arial" w:cs="Arial"/>
          <w:sz w:val="22"/>
          <w:szCs w:val="22"/>
        </w:rPr>
        <w:t>all the roles funded through the TC Programme is Capacity Development.  Capacity Development is defined by the Public Service as:</w:t>
      </w: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A933EB">
      <w:pPr>
        <w:pStyle w:val="BodyTextIndent"/>
        <w:numPr>
          <w:ilvl w:val="0"/>
          <w:numId w:val="16"/>
        </w:numPr>
        <w:spacing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602C0EAF" w14:textId="3D249153" w:rsidR="006F17A1" w:rsidRDefault="00316C3A" w:rsidP="00A933EB">
      <w:pPr>
        <w:pStyle w:val="BodyTextIndent"/>
        <w:spacing w:line="240" w:lineRule="auto"/>
        <w:ind w:left="36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A933EB">
      <w:pPr>
        <w:pStyle w:val="BodyTextIndent"/>
        <w:numPr>
          <w:ilvl w:val="0"/>
          <w:numId w:val="7"/>
        </w:numPr>
        <w:spacing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46B7CBE5" w14:textId="4AA487FC" w:rsidR="006F17A1" w:rsidRPr="00316C3A" w:rsidRDefault="00D325FA" w:rsidP="00A933EB">
      <w:pPr>
        <w:pStyle w:val="BodyTextIndent"/>
        <w:spacing w:line="240" w:lineRule="auto"/>
        <w:ind w:left="36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7E996483" w14:textId="446DA65E" w:rsidR="00496537" w:rsidRPr="00316C3A" w:rsidRDefault="00496537" w:rsidP="00A933EB">
      <w:pPr>
        <w:spacing w:after="120" w:line="240" w:lineRule="auto"/>
        <w:ind w:left="360"/>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0E7FE676" w14:textId="48B30D56" w:rsidR="00496537" w:rsidRPr="00316C3A" w:rsidRDefault="00496537" w:rsidP="00A933EB">
      <w:pPr>
        <w:spacing w:after="120" w:line="240" w:lineRule="auto"/>
        <w:ind w:left="360"/>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337B5362" w14:textId="56C6ABCE" w:rsidR="00A933EB" w:rsidRDefault="00B15A95" w:rsidP="00A933EB">
      <w:pPr>
        <w:spacing w:after="120" w:line="240" w:lineRule="auto"/>
        <w:ind w:left="360"/>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1EB9EEAE" w14:textId="77777777" w:rsidR="00A933EB" w:rsidRDefault="00A933EB">
      <w:pPr>
        <w:spacing w:after="200" w:line="276" w:lineRule="auto"/>
        <w:rPr>
          <w:rFonts w:ascii="Arial" w:hAnsi="Arial" w:cs="Arial"/>
        </w:rPr>
      </w:pPr>
      <w:r>
        <w:rPr>
          <w:rFonts w:ascii="Arial" w:hAnsi="Arial" w:cs="Arial"/>
        </w:rPr>
        <w:br w:type="page"/>
      </w:r>
    </w:p>
    <w:p w14:paraId="5656B0BA" w14:textId="77777777" w:rsidR="00496537" w:rsidRPr="00316C3A" w:rsidRDefault="00496537" w:rsidP="00A933EB">
      <w:pPr>
        <w:spacing w:after="120" w:line="240" w:lineRule="auto"/>
        <w:ind w:left="360"/>
        <w:jc w:val="both"/>
        <w:rPr>
          <w:rFonts w:ascii="Arial" w:hAnsi="Arial" w:cs="Arial"/>
        </w:rPr>
      </w:pPr>
    </w:p>
    <w:p w14:paraId="1222CFDF" w14:textId="15D21E92" w:rsidR="00E5774D" w:rsidRPr="00A933EB" w:rsidRDefault="00E5774D" w:rsidP="00A933EB">
      <w:pPr>
        <w:pStyle w:val="Heading1"/>
      </w:pPr>
      <w:r w:rsidRPr="00A933EB">
        <w:t>Support to National Goals and Strategic Objectives</w:t>
      </w:r>
    </w:p>
    <w:p w14:paraId="32F22BCD" w14:textId="77777777" w:rsidR="00E5774D" w:rsidRDefault="00E5774D" w:rsidP="00A933EB">
      <w:pPr>
        <w:spacing w:after="12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450A98B0" w14:textId="77777777" w:rsidR="00A43DA4" w:rsidRDefault="00A43DA4"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A43DA4" w:rsidRPr="0089799C" w14:paraId="022D4F61" w14:textId="77777777" w:rsidTr="00D43552">
        <w:tc>
          <w:tcPr>
            <w:tcW w:w="3081" w:type="dxa"/>
            <w:shd w:val="clear" w:color="auto" w:fill="auto"/>
          </w:tcPr>
          <w:p w14:paraId="3A7AF031" w14:textId="77777777" w:rsidR="00A43DA4" w:rsidRPr="007678E9" w:rsidRDefault="00A43DA4" w:rsidP="00D43552">
            <w:pPr>
              <w:spacing w:after="0" w:line="240" w:lineRule="auto"/>
              <w:jc w:val="both"/>
              <w:rPr>
                <w:rFonts w:ascii="Arial Narrow" w:eastAsia="Batang" w:hAnsi="Arial Narrow" w:cs="Arial"/>
                <w:b/>
                <w:color w:val="000000"/>
              </w:rPr>
            </w:pPr>
            <w:r w:rsidRPr="007678E9">
              <w:rPr>
                <w:rFonts w:ascii="Arial Narrow" w:eastAsia="Batang" w:hAnsi="Arial Narrow" w:cs="Arial"/>
                <w:b/>
                <w:color w:val="000000"/>
              </w:rPr>
              <w:t xml:space="preserve">NATIONAL GOAL </w:t>
            </w:r>
          </w:p>
        </w:tc>
        <w:tc>
          <w:tcPr>
            <w:tcW w:w="3081" w:type="dxa"/>
            <w:shd w:val="clear" w:color="auto" w:fill="auto"/>
          </w:tcPr>
          <w:p w14:paraId="195D4877" w14:textId="77777777" w:rsidR="00A43DA4" w:rsidRPr="007678E9" w:rsidRDefault="00A43DA4" w:rsidP="00D43552">
            <w:pPr>
              <w:spacing w:after="0" w:line="240" w:lineRule="auto"/>
              <w:jc w:val="both"/>
              <w:rPr>
                <w:rFonts w:ascii="Arial Narrow" w:eastAsia="Batang" w:hAnsi="Arial Narrow" w:cs="Arial"/>
                <w:b/>
                <w:color w:val="000000"/>
              </w:rPr>
            </w:pPr>
            <w:r w:rsidRPr="007678E9">
              <w:rPr>
                <w:rFonts w:ascii="Arial Narrow" w:eastAsia="Batang" w:hAnsi="Arial Narrow" w:cs="Arial"/>
                <w:b/>
                <w:color w:val="000000"/>
              </w:rPr>
              <w:t>STRATEGIC OBJECTIVE</w:t>
            </w:r>
          </w:p>
        </w:tc>
        <w:tc>
          <w:tcPr>
            <w:tcW w:w="4011" w:type="dxa"/>
            <w:shd w:val="clear" w:color="auto" w:fill="auto"/>
          </w:tcPr>
          <w:p w14:paraId="2AB1CDB5" w14:textId="77777777" w:rsidR="00A43DA4" w:rsidRPr="007678E9" w:rsidRDefault="00A43DA4" w:rsidP="00D43552">
            <w:pPr>
              <w:spacing w:after="0" w:line="240" w:lineRule="auto"/>
              <w:jc w:val="both"/>
              <w:rPr>
                <w:rFonts w:ascii="Arial Narrow" w:eastAsia="Batang" w:hAnsi="Arial Narrow" w:cs="Arial"/>
                <w:b/>
                <w:color w:val="000000"/>
              </w:rPr>
            </w:pPr>
            <w:r w:rsidRPr="007678E9">
              <w:rPr>
                <w:rFonts w:ascii="Arial Narrow" w:eastAsia="Batang" w:hAnsi="Arial Narrow" w:cs="Arial"/>
                <w:b/>
                <w:color w:val="000000"/>
              </w:rPr>
              <w:t>DEPARTMENTAL  OBJECTIVE</w:t>
            </w:r>
          </w:p>
        </w:tc>
      </w:tr>
      <w:tr w:rsidR="002F55FA" w:rsidRPr="00C27B08" w14:paraId="603FC5C9" w14:textId="77777777" w:rsidTr="00A933EB">
        <w:tc>
          <w:tcPr>
            <w:tcW w:w="3081" w:type="dxa"/>
            <w:shd w:val="clear" w:color="auto" w:fill="auto"/>
            <w:vAlign w:val="center"/>
          </w:tcPr>
          <w:p w14:paraId="2E3031EE" w14:textId="156E4824" w:rsidR="002F55FA" w:rsidRPr="00C27B08" w:rsidRDefault="002F55FA" w:rsidP="00A933EB">
            <w:pPr>
              <w:spacing w:after="120" w:line="240" w:lineRule="auto"/>
              <w:rPr>
                <w:rFonts w:ascii="Arial" w:eastAsia="Batang" w:hAnsi="Arial" w:cs="Arial"/>
                <w:color w:val="000000"/>
              </w:rPr>
            </w:pPr>
            <w:r w:rsidRPr="00C27B08">
              <w:rPr>
                <w:rFonts w:ascii="Arial" w:eastAsia="Batang" w:hAnsi="Arial" w:cs="Arial"/>
                <w:color w:val="000000"/>
              </w:rPr>
              <w:t>Effective Infrastructure</w:t>
            </w:r>
          </w:p>
        </w:tc>
        <w:tc>
          <w:tcPr>
            <w:tcW w:w="3081" w:type="dxa"/>
            <w:shd w:val="clear" w:color="auto" w:fill="auto"/>
            <w:vAlign w:val="center"/>
          </w:tcPr>
          <w:p w14:paraId="09F85679" w14:textId="12657542" w:rsidR="002F55FA" w:rsidRPr="00C27B08" w:rsidRDefault="002F55FA" w:rsidP="00A933EB">
            <w:pPr>
              <w:spacing w:before="60" w:after="60"/>
              <w:ind w:left="318" w:hanging="318"/>
              <w:rPr>
                <w:rFonts w:ascii="Arial" w:hAnsi="Arial" w:cs="Arial"/>
                <w:sz w:val="20"/>
                <w:szCs w:val="20"/>
              </w:rPr>
            </w:pPr>
            <w:r w:rsidRPr="00C27B08">
              <w:rPr>
                <w:rFonts w:ascii="Arial" w:hAnsi="Arial" w:cs="Arial"/>
                <w:sz w:val="20"/>
                <w:szCs w:val="20"/>
              </w:rPr>
              <w:t>1.1 Ensure effective investment in physical infrastructure, including improved access to and round the Island</w:t>
            </w:r>
          </w:p>
        </w:tc>
        <w:tc>
          <w:tcPr>
            <w:tcW w:w="4011" w:type="dxa"/>
            <w:shd w:val="clear" w:color="auto" w:fill="auto"/>
            <w:vAlign w:val="center"/>
          </w:tcPr>
          <w:p w14:paraId="171A1FB9" w14:textId="18F5CAAA" w:rsidR="002F55FA" w:rsidRPr="00C27B08" w:rsidRDefault="002F55FA" w:rsidP="00A933EB">
            <w:pPr>
              <w:spacing w:before="60" w:after="60"/>
              <w:ind w:left="459" w:hanging="459"/>
              <w:rPr>
                <w:rFonts w:ascii="Arial" w:eastAsia="Batang" w:hAnsi="Arial" w:cs="Arial"/>
                <w:color w:val="000000"/>
              </w:rPr>
            </w:pPr>
            <w:r w:rsidRPr="00C27B08">
              <w:rPr>
                <w:rFonts w:ascii="Arial" w:hAnsi="Arial" w:cs="Arial"/>
                <w:sz w:val="20"/>
                <w:szCs w:val="20"/>
              </w:rPr>
              <w:t>1.1.1 Reduce costs associated with port and cargo operations</w:t>
            </w:r>
          </w:p>
        </w:tc>
      </w:tr>
      <w:tr w:rsidR="00A933EB" w:rsidRPr="00C27B08" w14:paraId="40F39485" w14:textId="77777777" w:rsidTr="00A933EB">
        <w:tc>
          <w:tcPr>
            <w:tcW w:w="3081" w:type="dxa"/>
            <w:shd w:val="clear" w:color="auto" w:fill="auto"/>
            <w:vAlign w:val="center"/>
          </w:tcPr>
          <w:p w14:paraId="77F958A3" w14:textId="677225F5" w:rsidR="00A933EB" w:rsidRPr="00C27B08" w:rsidRDefault="00A933EB" w:rsidP="00A933EB">
            <w:pPr>
              <w:spacing w:after="120" w:line="240" w:lineRule="auto"/>
              <w:rPr>
                <w:rFonts w:ascii="Arial" w:eastAsia="Batang" w:hAnsi="Arial" w:cs="Arial"/>
                <w:color w:val="000000"/>
              </w:rPr>
            </w:pPr>
            <w:r w:rsidRPr="00C27B08">
              <w:rPr>
                <w:rFonts w:ascii="Arial" w:eastAsia="Batang" w:hAnsi="Arial" w:cs="Arial"/>
                <w:color w:val="000000"/>
              </w:rPr>
              <w:t>Altogether Wealthier</w:t>
            </w:r>
          </w:p>
        </w:tc>
        <w:tc>
          <w:tcPr>
            <w:tcW w:w="3081" w:type="dxa"/>
            <w:shd w:val="clear" w:color="auto" w:fill="auto"/>
            <w:vAlign w:val="center"/>
          </w:tcPr>
          <w:p w14:paraId="238A2830" w14:textId="759A724B" w:rsidR="00A933EB" w:rsidRPr="00C27B08" w:rsidRDefault="00A933EB" w:rsidP="00A933EB">
            <w:pPr>
              <w:spacing w:before="60" w:after="60"/>
              <w:ind w:left="318" w:hanging="318"/>
              <w:rPr>
                <w:rFonts w:ascii="Arial" w:hAnsi="Arial" w:cs="Arial"/>
                <w:sz w:val="20"/>
                <w:szCs w:val="20"/>
              </w:rPr>
            </w:pPr>
            <w:r w:rsidRPr="00C27B08">
              <w:rPr>
                <w:rFonts w:ascii="Arial" w:hAnsi="Arial" w:cs="Arial"/>
                <w:sz w:val="20"/>
                <w:szCs w:val="20"/>
              </w:rPr>
              <w:t>3.1 Ensure sustainable economic development.</w:t>
            </w:r>
          </w:p>
        </w:tc>
        <w:tc>
          <w:tcPr>
            <w:tcW w:w="4011" w:type="dxa"/>
            <w:shd w:val="clear" w:color="auto" w:fill="auto"/>
            <w:vAlign w:val="center"/>
          </w:tcPr>
          <w:p w14:paraId="4D4A92EE" w14:textId="770B9113" w:rsidR="00A933EB" w:rsidRPr="00C27B08" w:rsidRDefault="00A933EB" w:rsidP="00A933EB">
            <w:pPr>
              <w:spacing w:before="60" w:after="60"/>
              <w:ind w:left="459" w:hanging="459"/>
              <w:rPr>
                <w:rFonts w:ascii="Arial" w:hAnsi="Arial" w:cs="Arial"/>
                <w:sz w:val="20"/>
                <w:szCs w:val="20"/>
              </w:rPr>
            </w:pPr>
            <w:r w:rsidRPr="00C27B08">
              <w:rPr>
                <w:rFonts w:ascii="Arial" w:hAnsi="Arial" w:cs="Arial"/>
                <w:sz w:val="20"/>
                <w:szCs w:val="20"/>
              </w:rPr>
              <w:t>3.1.1 Create an enabling environment for future investment and private sector growth.</w:t>
            </w:r>
          </w:p>
        </w:tc>
      </w:tr>
      <w:tr w:rsidR="002F55FA" w:rsidRPr="00C27B08" w14:paraId="0F3F5EC6" w14:textId="77777777" w:rsidTr="00A933EB">
        <w:tc>
          <w:tcPr>
            <w:tcW w:w="3081" w:type="dxa"/>
            <w:shd w:val="clear" w:color="auto" w:fill="auto"/>
            <w:vAlign w:val="center"/>
          </w:tcPr>
          <w:p w14:paraId="11568B1A" w14:textId="28F51F1B" w:rsidR="002F55FA" w:rsidRPr="00C27B08" w:rsidRDefault="002F55FA" w:rsidP="00A933EB">
            <w:pPr>
              <w:spacing w:after="120" w:line="240" w:lineRule="auto"/>
              <w:rPr>
                <w:rFonts w:ascii="Arial" w:eastAsia="Batang" w:hAnsi="Arial" w:cs="Arial"/>
                <w:color w:val="000000"/>
              </w:rPr>
            </w:pPr>
            <w:r w:rsidRPr="00C27B08">
              <w:rPr>
                <w:rFonts w:ascii="Arial" w:eastAsia="Batang" w:hAnsi="Arial" w:cs="Arial"/>
                <w:color w:val="000000"/>
              </w:rPr>
              <w:t>Altogether Safer</w:t>
            </w:r>
          </w:p>
        </w:tc>
        <w:tc>
          <w:tcPr>
            <w:tcW w:w="3081" w:type="dxa"/>
            <w:shd w:val="clear" w:color="auto" w:fill="auto"/>
            <w:vAlign w:val="center"/>
          </w:tcPr>
          <w:p w14:paraId="6B6E2ABC" w14:textId="77777777" w:rsidR="002F55FA" w:rsidRPr="00C27B08" w:rsidRDefault="002F55FA" w:rsidP="00A933EB">
            <w:pPr>
              <w:spacing w:before="60" w:after="60"/>
              <w:ind w:left="318" w:hanging="318"/>
              <w:rPr>
                <w:rFonts w:ascii="Arial" w:hAnsi="Arial" w:cs="Arial"/>
                <w:sz w:val="20"/>
                <w:szCs w:val="20"/>
              </w:rPr>
            </w:pPr>
            <w:r w:rsidRPr="00C27B08">
              <w:rPr>
                <w:rFonts w:ascii="Arial" w:hAnsi="Arial" w:cs="Arial"/>
                <w:sz w:val="20"/>
                <w:szCs w:val="20"/>
              </w:rPr>
              <w:t xml:space="preserve">4.1 Develop a safe environment. </w:t>
            </w:r>
          </w:p>
          <w:p w14:paraId="068CEA38" w14:textId="333D7E60" w:rsidR="002F55FA" w:rsidRPr="00C27B08" w:rsidRDefault="002F55FA" w:rsidP="00A933EB">
            <w:pPr>
              <w:spacing w:before="60" w:after="60"/>
              <w:ind w:left="318" w:hanging="318"/>
              <w:rPr>
                <w:rFonts w:ascii="Arial" w:hAnsi="Arial" w:cs="Arial"/>
                <w:sz w:val="20"/>
                <w:szCs w:val="20"/>
              </w:rPr>
            </w:pPr>
            <w:r w:rsidRPr="00C27B08">
              <w:rPr>
                <w:rFonts w:ascii="Arial" w:hAnsi="Arial" w:cs="Arial"/>
                <w:sz w:val="20"/>
                <w:szCs w:val="20"/>
              </w:rPr>
              <w:t>4.2 Care for vulnerable and disadvantaged groups in society such as people with disabilities, children, elderly people and low income earners.</w:t>
            </w:r>
          </w:p>
        </w:tc>
        <w:tc>
          <w:tcPr>
            <w:tcW w:w="4011" w:type="dxa"/>
            <w:shd w:val="clear" w:color="auto" w:fill="auto"/>
            <w:vAlign w:val="center"/>
          </w:tcPr>
          <w:p w14:paraId="588ABD5C" w14:textId="3B9AADAD" w:rsidR="002F55FA" w:rsidRPr="00C27B08" w:rsidRDefault="002F55FA" w:rsidP="00A933EB">
            <w:pPr>
              <w:spacing w:before="60" w:after="60"/>
              <w:ind w:left="459" w:hanging="459"/>
              <w:rPr>
                <w:rFonts w:ascii="Arial" w:hAnsi="Arial" w:cs="Arial"/>
                <w:sz w:val="20"/>
                <w:szCs w:val="20"/>
              </w:rPr>
            </w:pPr>
            <w:r w:rsidRPr="00C27B08">
              <w:rPr>
                <w:rFonts w:ascii="Arial" w:hAnsi="Arial" w:cs="Arial"/>
                <w:sz w:val="20"/>
                <w:szCs w:val="20"/>
              </w:rPr>
              <w:t>4.1.1 Ensure a safe and secure environment where children, young people and adults can grow and thrive.</w:t>
            </w:r>
          </w:p>
          <w:p w14:paraId="3540BA7F" w14:textId="4A395B34" w:rsidR="002F55FA" w:rsidRPr="00C27B08" w:rsidRDefault="002F55FA" w:rsidP="00A933EB">
            <w:pPr>
              <w:spacing w:before="60" w:after="60"/>
              <w:ind w:left="459" w:hanging="459"/>
              <w:rPr>
                <w:rFonts w:ascii="Arial" w:hAnsi="Arial" w:cs="Arial"/>
                <w:sz w:val="20"/>
                <w:szCs w:val="20"/>
              </w:rPr>
            </w:pPr>
            <w:r w:rsidRPr="00C27B08">
              <w:rPr>
                <w:rFonts w:ascii="Arial" w:hAnsi="Arial" w:cs="Arial"/>
                <w:sz w:val="20"/>
                <w:szCs w:val="20"/>
              </w:rPr>
              <w:t>4.2.1 Protect and ensure the wellbeing of all vulnerable members of society.</w:t>
            </w:r>
          </w:p>
        </w:tc>
      </w:tr>
      <w:tr w:rsidR="002F55FA" w:rsidRPr="00C27B08" w14:paraId="05EFC026" w14:textId="77777777" w:rsidTr="00A933EB">
        <w:tc>
          <w:tcPr>
            <w:tcW w:w="3081" w:type="dxa"/>
            <w:shd w:val="clear" w:color="auto" w:fill="auto"/>
            <w:vAlign w:val="center"/>
          </w:tcPr>
          <w:p w14:paraId="676C588E" w14:textId="4E48E288" w:rsidR="002F55FA" w:rsidRPr="00C27B08" w:rsidRDefault="00A933EB" w:rsidP="00A933EB">
            <w:pPr>
              <w:spacing w:after="120" w:line="240" w:lineRule="auto"/>
              <w:rPr>
                <w:rFonts w:ascii="Arial" w:eastAsia="Batang" w:hAnsi="Arial" w:cs="Arial"/>
                <w:color w:val="000000"/>
              </w:rPr>
            </w:pPr>
            <w:r w:rsidRPr="00C27B08">
              <w:rPr>
                <w:rFonts w:ascii="Arial" w:eastAsia="Batang" w:hAnsi="Arial" w:cs="Arial"/>
                <w:color w:val="000000"/>
              </w:rPr>
              <w:t>Altogether Healthier</w:t>
            </w:r>
          </w:p>
        </w:tc>
        <w:tc>
          <w:tcPr>
            <w:tcW w:w="3081" w:type="dxa"/>
            <w:shd w:val="clear" w:color="auto" w:fill="auto"/>
            <w:vAlign w:val="center"/>
          </w:tcPr>
          <w:p w14:paraId="51CB9C14" w14:textId="0B1018D0" w:rsidR="002F55FA" w:rsidRPr="00C27B08" w:rsidRDefault="002F55FA" w:rsidP="00A933EB">
            <w:pPr>
              <w:spacing w:before="60" w:after="60"/>
              <w:ind w:left="318" w:hanging="318"/>
              <w:rPr>
                <w:rFonts w:ascii="Arial" w:hAnsi="Arial" w:cs="Arial"/>
                <w:sz w:val="20"/>
                <w:szCs w:val="20"/>
              </w:rPr>
            </w:pPr>
            <w:r w:rsidRPr="00C27B08">
              <w:rPr>
                <w:rFonts w:ascii="Arial" w:hAnsi="Arial" w:cs="Arial"/>
                <w:sz w:val="20"/>
                <w:szCs w:val="20"/>
              </w:rPr>
              <w:t>5.1 Improve the health of the community</w:t>
            </w:r>
          </w:p>
        </w:tc>
        <w:tc>
          <w:tcPr>
            <w:tcW w:w="4011" w:type="dxa"/>
            <w:shd w:val="clear" w:color="auto" w:fill="auto"/>
            <w:vAlign w:val="center"/>
          </w:tcPr>
          <w:p w14:paraId="6E9FDD0A" w14:textId="5D27638E" w:rsidR="002F55FA" w:rsidRPr="00C27B08" w:rsidRDefault="002F55FA" w:rsidP="00A933EB">
            <w:pPr>
              <w:spacing w:before="60" w:after="60"/>
              <w:ind w:left="459" w:hanging="459"/>
              <w:rPr>
                <w:rFonts w:ascii="Arial" w:eastAsia="Batang" w:hAnsi="Arial" w:cs="Arial"/>
                <w:color w:val="000000"/>
              </w:rPr>
            </w:pPr>
            <w:r w:rsidRPr="00C27B08">
              <w:rPr>
                <w:rFonts w:ascii="Arial" w:hAnsi="Arial" w:cs="Arial"/>
                <w:sz w:val="20"/>
                <w:szCs w:val="20"/>
              </w:rPr>
              <w:t>5.1.3  Protect population from environmental health threats and emergencies</w:t>
            </w:r>
          </w:p>
        </w:tc>
      </w:tr>
      <w:tr w:rsidR="00A933EB" w:rsidRPr="00C27B08" w14:paraId="0356C90C" w14:textId="77777777" w:rsidTr="00A933EB">
        <w:tc>
          <w:tcPr>
            <w:tcW w:w="3081" w:type="dxa"/>
            <w:shd w:val="clear" w:color="auto" w:fill="auto"/>
            <w:vAlign w:val="center"/>
          </w:tcPr>
          <w:p w14:paraId="717E0F75" w14:textId="012AC7BC" w:rsidR="00A933EB" w:rsidRPr="00C27B08" w:rsidRDefault="00A933EB" w:rsidP="00A933EB">
            <w:pPr>
              <w:spacing w:after="120" w:line="240" w:lineRule="auto"/>
              <w:rPr>
                <w:rFonts w:ascii="Arial" w:eastAsia="Batang" w:hAnsi="Arial" w:cs="Arial"/>
                <w:color w:val="000000"/>
              </w:rPr>
            </w:pPr>
            <w:r w:rsidRPr="00C27B08">
              <w:rPr>
                <w:rFonts w:ascii="Arial" w:eastAsia="Batang" w:hAnsi="Arial" w:cs="Arial"/>
                <w:color w:val="000000"/>
              </w:rPr>
              <w:t>Effective, Efficient and Accountable Public Sector</w:t>
            </w:r>
          </w:p>
        </w:tc>
        <w:tc>
          <w:tcPr>
            <w:tcW w:w="3081" w:type="dxa"/>
            <w:shd w:val="clear" w:color="auto" w:fill="auto"/>
            <w:vAlign w:val="center"/>
          </w:tcPr>
          <w:p w14:paraId="15474E0F" w14:textId="77777777" w:rsidR="00A933EB" w:rsidRPr="00C27B08" w:rsidRDefault="00A933EB" w:rsidP="00A933EB">
            <w:pPr>
              <w:spacing w:before="60" w:after="60"/>
              <w:ind w:left="318" w:hanging="318"/>
              <w:rPr>
                <w:rFonts w:ascii="Arial" w:hAnsi="Arial" w:cs="Arial"/>
                <w:sz w:val="20"/>
                <w:szCs w:val="20"/>
              </w:rPr>
            </w:pPr>
            <w:r w:rsidRPr="00C27B08">
              <w:rPr>
                <w:rFonts w:ascii="Arial" w:hAnsi="Arial" w:cs="Arial"/>
                <w:sz w:val="20"/>
                <w:szCs w:val="20"/>
              </w:rPr>
              <w:t>6.2 Ensure sustainable public finances by continuing to collect revenues</w:t>
            </w:r>
          </w:p>
        </w:tc>
        <w:tc>
          <w:tcPr>
            <w:tcW w:w="4011" w:type="dxa"/>
            <w:shd w:val="clear" w:color="auto" w:fill="auto"/>
            <w:vAlign w:val="center"/>
          </w:tcPr>
          <w:p w14:paraId="448A2914" w14:textId="77777777" w:rsidR="00A933EB" w:rsidRPr="00C27B08" w:rsidRDefault="00A933EB" w:rsidP="00A933EB">
            <w:pPr>
              <w:spacing w:before="60" w:after="60"/>
              <w:ind w:left="459" w:hanging="459"/>
              <w:rPr>
                <w:rFonts w:ascii="Arial" w:eastAsia="Batang" w:hAnsi="Arial" w:cs="Arial"/>
                <w:color w:val="000000"/>
              </w:rPr>
            </w:pPr>
            <w:r w:rsidRPr="00C27B08">
              <w:rPr>
                <w:rFonts w:ascii="Arial" w:hAnsi="Arial" w:cs="Arial"/>
                <w:sz w:val="20"/>
                <w:szCs w:val="20"/>
              </w:rPr>
              <w:t>6.2.1 Strengthen public financial management to ensure effective collection and use of public finances</w:t>
            </w:r>
          </w:p>
        </w:tc>
      </w:tr>
    </w:tbl>
    <w:p w14:paraId="385DB3C7" w14:textId="77777777" w:rsidR="001323CD" w:rsidRDefault="001323CD" w:rsidP="00E5774D">
      <w:pPr>
        <w:spacing w:after="0" w:line="240" w:lineRule="auto"/>
        <w:jc w:val="both"/>
        <w:rPr>
          <w:rFonts w:ascii="Arial" w:hAnsi="Arial" w:cs="Arial"/>
        </w:rPr>
      </w:pPr>
    </w:p>
    <w:p w14:paraId="411DACBC" w14:textId="1AA23B69" w:rsidR="006F17A1" w:rsidRPr="00345C5C" w:rsidRDefault="006F17A1" w:rsidP="00A933EB">
      <w:pPr>
        <w:pStyle w:val="Heading1"/>
      </w:pPr>
      <w:r w:rsidRPr="00345C5C">
        <w:t>Outputs, Timing and Reporting</w:t>
      </w:r>
    </w:p>
    <w:p w14:paraId="1B509B52" w14:textId="37C7F2BD" w:rsidR="00D652CF" w:rsidRPr="002F55FA" w:rsidRDefault="006F17A1" w:rsidP="00A933EB">
      <w:pPr>
        <w:pStyle w:val="Default"/>
        <w:numPr>
          <w:ilvl w:val="1"/>
          <w:numId w:val="27"/>
        </w:numPr>
        <w:spacing w:after="120"/>
        <w:jc w:val="both"/>
        <w:rPr>
          <w:rFonts w:ascii="Arial" w:hAnsi="Arial" w:cs="Arial"/>
          <w:sz w:val="22"/>
          <w:szCs w:val="22"/>
        </w:rPr>
      </w:pPr>
      <w:r w:rsidRPr="002F55FA">
        <w:rPr>
          <w:rFonts w:ascii="Arial" w:hAnsi="Arial" w:cs="Arial"/>
          <w:sz w:val="22"/>
          <w:szCs w:val="22"/>
        </w:rPr>
        <w:t>The</w:t>
      </w:r>
      <w:r w:rsidR="00461F94" w:rsidRPr="002F55FA">
        <w:rPr>
          <w:rFonts w:ascii="Arial" w:hAnsi="Arial" w:cs="Arial"/>
          <w:sz w:val="22"/>
          <w:szCs w:val="22"/>
        </w:rPr>
        <w:t xml:space="preserve"> </w:t>
      </w:r>
      <w:r w:rsidR="00A45C13" w:rsidRPr="002F55FA">
        <w:rPr>
          <w:rFonts w:ascii="Arial" w:hAnsi="Arial" w:cs="Arial"/>
          <w:sz w:val="22"/>
          <w:szCs w:val="22"/>
        </w:rPr>
        <w:t>Head of Customs and Immigration</w:t>
      </w:r>
      <w:r w:rsidR="00482B40" w:rsidRPr="002F55FA">
        <w:rPr>
          <w:rFonts w:ascii="Arial" w:hAnsi="Arial" w:cs="Arial"/>
          <w:sz w:val="22"/>
          <w:szCs w:val="22"/>
        </w:rPr>
        <w:t xml:space="preserve"> </w:t>
      </w:r>
      <w:r w:rsidRPr="002F55FA">
        <w:rPr>
          <w:rFonts w:ascii="Arial" w:hAnsi="Arial" w:cs="Arial"/>
          <w:sz w:val="22"/>
          <w:szCs w:val="22"/>
        </w:rPr>
        <w:t>shall provide to the</w:t>
      </w:r>
      <w:r w:rsidR="00461F94" w:rsidRPr="002F55FA">
        <w:rPr>
          <w:rFonts w:ascii="Arial" w:hAnsi="Arial" w:cs="Arial"/>
          <w:sz w:val="22"/>
          <w:szCs w:val="22"/>
        </w:rPr>
        <w:t xml:space="preserve"> </w:t>
      </w:r>
      <w:r w:rsidR="00482B40" w:rsidRPr="002F55FA">
        <w:rPr>
          <w:rFonts w:ascii="Arial" w:hAnsi="Arial" w:cs="Arial"/>
          <w:sz w:val="22"/>
          <w:szCs w:val="22"/>
        </w:rPr>
        <w:t xml:space="preserve">Safety, Security and Home Affairs Portfolio Director </w:t>
      </w:r>
      <w:r w:rsidR="00461F94" w:rsidRPr="002F55FA">
        <w:rPr>
          <w:rFonts w:ascii="Arial" w:hAnsi="Arial" w:cs="Arial"/>
          <w:sz w:val="22"/>
          <w:szCs w:val="22"/>
        </w:rPr>
        <w:t xml:space="preserve">3-monthly </w:t>
      </w:r>
      <w:r w:rsidRPr="002F55FA">
        <w:rPr>
          <w:rFonts w:ascii="Arial" w:hAnsi="Arial" w:cs="Arial"/>
          <w:sz w:val="22"/>
          <w:szCs w:val="22"/>
        </w:rPr>
        <w:t>reports on progress</w:t>
      </w:r>
      <w:r w:rsidR="005A120F" w:rsidRPr="002F55FA">
        <w:rPr>
          <w:rFonts w:ascii="Arial" w:hAnsi="Arial" w:cs="Arial"/>
          <w:sz w:val="22"/>
          <w:szCs w:val="22"/>
        </w:rPr>
        <w:t>.  These reports should cover</w:t>
      </w:r>
      <w:r w:rsidR="00D652CF" w:rsidRPr="002F55FA">
        <w:rPr>
          <w:rFonts w:ascii="Arial" w:hAnsi="Arial" w:cs="Arial"/>
          <w:sz w:val="22"/>
          <w:szCs w:val="22"/>
        </w:rPr>
        <w:t xml:space="preserve"> t</w:t>
      </w:r>
      <w:r w:rsidRPr="002F55FA">
        <w:rPr>
          <w:rFonts w:ascii="Arial" w:hAnsi="Arial" w:cs="Arial"/>
          <w:sz w:val="22"/>
          <w:szCs w:val="22"/>
        </w:rPr>
        <w:t>he outputs, and key performance indicators agreed with</w:t>
      </w:r>
      <w:r w:rsidR="00461F94" w:rsidRPr="002F55FA">
        <w:rPr>
          <w:rFonts w:ascii="Arial" w:hAnsi="Arial" w:cs="Arial"/>
          <w:sz w:val="22"/>
          <w:szCs w:val="22"/>
        </w:rPr>
        <w:t xml:space="preserve"> the</w:t>
      </w:r>
      <w:r w:rsidR="00482B40" w:rsidRPr="002F55FA">
        <w:rPr>
          <w:rFonts w:ascii="Arial" w:hAnsi="Arial" w:cs="Arial"/>
          <w:sz w:val="22"/>
          <w:szCs w:val="22"/>
        </w:rPr>
        <w:t xml:space="preserve"> Safety, Security and Home Affairs Portfolio Director</w:t>
      </w:r>
      <w:r w:rsidR="00461F94" w:rsidRPr="002F55FA">
        <w:rPr>
          <w:rFonts w:ascii="Arial" w:hAnsi="Arial" w:cs="Arial"/>
          <w:sz w:val="22"/>
          <w:szCs w:val="22"/>
        </w:rPr>
        <w:t xml:space="preserve">. </w:t>
      </w:r>
      <w:r w:rsidR="005A120F" w:rsidRPr="002F55FA">
        <w:rPr>
          <w:rFonts w:ascii="Arial" w:hAnsi="Arial" w:cs="Arial"/>
          <w:sz w:val="22"/>
          <w:szCs w:val="22"/>
        </w:rPr>
        <w:t xml:space="preserve">These should be agreed </w:t>
      </w:r>
      <w:r w:rsidRPr="002F55FA">
        <w:rPr>
          <w:rFonts w:ascii="Arial" w:hAnsi="Arial" w:cs="Arial"/>
          <w:sz w:val="22"/>
          <w:szCs w:val="22"/>
        </w:rPr>
        <w:t>not more than three months after arrival on Island</w:t>
      </w:r>
      <w:r w:rsidR="00D652CF" w:rsidRPr="002F55FA">
        <w:rPr>
          <w:rFonts w:ascii="Arial" w:hAnsi="Arial" w:cs="Arial"/>
          <w:sz w:val="22"/>
          <w:szCs w:val="22"/>
        </w:rPr>
        <w:t>.</w:t>
      </w:r>
    </w:p>
    <w:p w14:paraId="44D2A837" w14:textId="2219185A" w:rsidR="00D652CF" w:rsidRPr="002F55FA" w:rsidRDefault="00FB5F2A" w:rsidP="00A933EB">
      <w:pPr>
        <w:pStyle w:val="Default"/>
        <w:numPr>
          <w:ilvl w:val="1"/>
          <w:numId w:val="27"/>
        </w:numPr>
        <w:spacing w:after="120"/>
        <w:jc w:val="both"/>
        <w:rPr>
          <w:rFonts w:ascii="Arial" w:hAnsi="Arial" w:cs="Arial"/>
          <w:sz w:val="22"/>
          <w:szCs w:val="22"/>
        </w:rPr>
      </w:pPr>
      <w:r w:rsidRPr="002F55FA">
        <w:rPr>
          <w:rFonts w:ascii="Arial" w:hAnsi="Arial" w:cs="Arial"/>
          <w:sz w:val="22"/>
          <w:szCs w:val="22"/>
        </w:rPr>
        <w:t>A Capacity Development Record should be kept by the post</w:t>
      </w:r>
      <w:r w:rsidR="00245D63">
        <w:rPr>
          <w:rFonts w:ascii="Arial" w:hAnsi="Arial" w:cs="Arial"/>
          <w:sz w:val="22"/>
          <w:szCs w:val="22"/>
        </w:rPr>
        <w:t xml:space="preserve"> </w:t>
      </w:r>
      <w:r w:rsidRPr="002F55FA">
        <w:rPr>
          <w:rFonts w:ascii="Arial" w:hAnsi="Arial" w:cs="Arial"/>
          <w:sz w:val="22"/>
          <w:szCs w:val="22"/>
        </w:rPr>
        <w:t>holder for the duration of their contract</w:t>
      </w:r>
      <w:r w:rsidR="00D652CF" w:rsidRPr="002F55FA">
        <w:rPr>
          <w:rFonts w:ascii="Arial" w:hAnsi="Arial" w:cs="Arial"/>
          <w:sz w:val="22"/>
          <w:szCs w:val="22"/>
        </w:rPr>
        <w:t>.  T</w:t>
      </w:r>
      <w:r w:rsidRPr="002F55FA">
        <w:rPr>
          <w:rFonts w:ascii="Arial" w:hAnsi="Arial" w:cs="Arial"/>
          <w:sz w:val="22"/>
          <w:szCs w:val="22"/>
        </w:rPr>
        <w:t>his will be reviewed as part of the six-month probation r</w:t>
      </w:r>
      <w:r w:rsidR="00D652CF" w:rsidRPr="002F55FA">
        <w:rPr>
          <w:rFonts w:ascii="Arial" w:hAnsi="Arial" w:cs="Arial"/>
          <w:sz w:val="22"/>
          <w:szCs w:val="22"/>
        </w:rPr>
        <w:t>eview, annually as part of the a</w:t>
      </w:r>
      <w:r w:rsidRPr="002F55FA">
        <w:rPr>
          <w:rFonts w:ascii="Arial" w:hAnsi="Arial" w:cs="Arial"/>
          <w:sz w:val="22"/>
          <w:szCs w:val="22"/>
        </w:rPr>
        <w:t xml:space="preserve">ppraisal </w:t>
      </w:r>
      <w:r w:rsidR="000601B7" w:rsidRPr="002F55FA">
        <w:rPr>
          <w:rFonts w:ascii="Arial" w:hAnsi="Arial" w:cs="Arial"/>
          <w:sz w:val="22"/>
          <w:szCs w:val="22"/>
        </w:rPr>
        <w:t xml:space="preserve">process </w:t>
      </w:r>
      <w:r w:rsidRPr="002F55FA">
        <w:rPr>
          <w:rFonts w:ascii="Arial" w:hAnsi="Arial" w:cs="Arial"/>
          <w:sz w:val="22"/>
          <w:szCs w:val="22"/>
        </w:rPr>
        <w:t>and at the end of contract review</w:t>
      </w:r>
      <w:r w:rsidR="000601B7" w:rsidRPr="002F55FA">
        <w:rPr>
          <w:rFonts w:ascii="Arial" w:hAnsi="Arial" w:cs="Arial"/>
          <w:sz w:val="22"/>
          <w:szCs w:val="22"/>
        </w:rPr>
        <w:t>.</w:t>
      </w:r>
    </w:p>
    <w:p w14:paraId="33A5E47A" w14:textId="7468C83A" w:rsidR="00A933EB" w:rsidRDefault="006F17A1" w:rsidP="00A933EB">
      <w:pPr>
        <w:pStyle w:val="Default"/>
        <w:numPr>
          <w:ilvl w:val="1"/>
          <w:numId w:val="27"/>
        </w:numPr>
        <w:spacing w:after="120"/>
        <w:jc w:val="both"/>
        <w:rPr>
          <w:rFonts w:ascii="Arial" w:hAnsi="Arial" w:cs="Arial"/>
          <w:sz w:val="22"/>
          <w:szCs w:val="22"/>
        </w:rPr>
      </w:pPr>
      <w:r w:rsidRPr="002F55FA">
        <w:rPr>
          <w:rFonts w:ascii="Arial" w:hAnsi="Arial" w:cs="Arial"/>
          <w:sz w:val="22"/>
          <w:szCs w:val="22"/>
        </w:rPr>
        <w:t>The post will be for</w:t>
      </w:r>
      <w:r w:rsidR="00461F94" w:rsidRPr="002F55FA">
        <w:rPr>
          <w:rFonts w:ascii="Arial" w:hAnsi="Arial" w:cs="Arial"/>
          <w:sz w:val="22"/>
          <w:szCs w:val="22"/>
        </w:rPr>
        <w:t xml:space="preserve"> 2-years</w:t>
      </w:r>
      <w:r w:rsidRPr="002F55FA">
        <w:rPr>
          <w:rFonts w:ascii="Arial" w:hAnsi="Arial" w:cs="Arial"/>
          <w:sz w:val="22"/>
          <w:szCs w:val="22"/>
        </w:rPr>
        <w:t xml:space="preserve">. Performance will be measured with respect to the </w:t>
      </w:r>
      <w:r w:rsidR="00A45C13" w:rsidRPr="002F55FA">
        <w:rPr>
          <w:rFonts w:ascii="Arial" w:hAnsi="Arial" w:cs="Arial"/>
          <w:sz w:val="22"/>
          <w:szCs w:val="22"/>
        </w:rPr>
        <w:t>Customs and Immigration Services’</w:t>
      </w:r>
      <w:r w:rsidR="00482B40" w:rsidRPr="002F55FA">
        <w:rPr>
          <w:rFonts w:ascii="Arial" w:hAnsi="Arial" w:cs="Arial"/>
          <w:sz w:val="22"/>
          <w:szCs w:val="22"/>
        </w:rPr>
        <w:t xml:space="preserve"> </w:t>
      </w:r>
      <w:r w:rsidRPr="002F55FA">
        <w:rPr>
          <w:rFonts w:ascii="Arial" w:hAnsi="Arial" w:cs="Arial"/>
          <w:sz w:val="22"/>
          <w:szCs w:val="22"/>
        </w:rPr>
        <w:t>overall performance in service delivery</w:t>
      </w:r>
      <w:r w:rsidR="00D652CF" w:rsidRPr="002F55FA">
        <w:rPr>
          <w:rFonts w:ascii="Arial" w:hAnsi="Arial" w:cs="Arial"/>
          <w:sz w:val="22"/>
          <w:szCs w:val="22"/>
        </w:rPr>
        <w:t xml:space="preserve"> and </w:t>
      </w:r>
      <w:r w:rsidRPr="002F55FA">
        <w:rPr>
          <w:rFonts w:ascii="Arial" w:hAnsi="Arial" w:cs="Arial"/>
          <w:sz w:val="22"/>
          <w:szCs w:val="22"/>
        </w:rPr>
        <w:t>increases in operational effectiveness and efficiency.</w:t>
      </w:r>
      <w:r w:rsidR="0077327F" w:rsidRPr="002F55FA">
        <w:rPr>
          <w:rFonts w:ascii="Arial" w:hAnsi="Arial" w:cs="Arial"/>
          <w:sz w:val="22"/>
          <w:szCs w:val="22"/>
        </w:rPr>
        <w:t xml:space="preserve">  The Capacity Development Record will be a key document for measuring performance.  </w:t>
      </w:r>
      <w:r w:rsidRPr="002F55FA">
        <w:rPr>
          <w:rFonts w:ascii="Arial" w:hAnsi="Arial" w:cs="Arial"/>
          <w:sz w:val="22"/>
          <w:szCs w:val="22"/>
        </w:rPr>
        <w:t xml:space="preserve">A probationary </w:t>
      </w:r>
      <w:r w:rsidR="00AB4C7F" w:rsidRPr="002F55FA">
        <w:rPr>
          <w:rFonts w:ascii="Arial" w:hAnsi="Arial" w:cs="Arial"/>
          <w:sz w:val="22"/>
          <w:szCs w:val="22"/>
        </w:rPr>
        <w:t xml:space="preserve">period of </w:t>
      </w:r>
      <w:r w:rsidRPr="002F55FA">
        <w:rPr>
          <w:rFonts w:ascii="Arial" w:hAnsi="Arial" w:cs="Arial"/>
          <w:sz w:val="22"/>
          <w:szCs w:val="22"/>
        </w:rPr>
        <w:t>6 months</w:t>
      </w:r>
      <w:r w:rsidR="00AB4C7F" w:rsidRPr="002F55FA">
        <w:rPr>
          <w:rFonts w:ascii="Arial" w:hAnsi="Arial" w:cs="Arial"/>
          <w:sz w:val="22"/>
          <w:szCs w:val="22"/>
        </w:rPr>
        <w:t xml:space="preserve"> will apply</w:t>
      </w:r>
      <w:r w:rsidRPr="002F55FA">
        <w:rPr>
          <w:rFonts w:ascii="Arial" w:hAnsi="Arial" w:cs="Arial"/>
          <w:sz w:val="22"/>
          <w:szCs w:val="22"/>
        </w:rPr>
        <w:t>.</w:t>
      </w:r>
    </w:p>
    <w:p w14:paraId="337D9924" w14:textId="77777777" w:rsidR="00D652CF" w:rsidRPr="002F55FA" w:rsidRDefault="00D652CF" w:rsidP="00A933EB">
      <w:pPr>
        <w:pStyle w:val="Default"/>
        <w:spacing w:after="120"/>
        <w:jc w:val="both"/>
        <w:rPr>
          <w:rFonts w:ascii="Arial" w:hAnsi="Arial" w:cs="Arial"/>
          <w:sz w:val="22"/>
          <w:szCs w:val="22"/>
        </w:rPr>
      </w:pPr>
    </w:p>
    <w:p w14:paraId="649828F0" w14:textId="7A1B360E" w:rsidR="006F17A1" w:rsidRPr="00345C5C" w:rsidRDefault="00345C5C" w:rsidP="00A933EB">
      <w:pPr>
        <w:pStyle w:val="Heading1"/>
      </w:pPr>
      <w:r w:rsidRPr="00345C5C">
        <w:t>Organisational Structure</w:t>
      </w:r>
    </w:p>
    <w:p w14:paraId="642B1DD0" w14:textId="45415DFD" w:rsidR="00442A85" w:rsidRDefault="00392F0B" w:rsidP="00D36673">
      <w:pPr>
        <w:pStyle w:val="BodyText3"/>
        <w:numPr>
          <w:ilvl w:val="1"/>
          <w:numId w:val="27"/>
        </w:numPr>
        <w:jc w:val="both"/>
        <w:rPr>
          <w:rFonts w:cs="Arial"/>
          <w:sz w:val="22"/>
          <w:szCs w:val="22"/>
        </w:rPr>
      </w:pPr>
      <w:r>
        <w:rPr>
          <w:rFonts w:cs="Arial"/>
          <w:sz w:val="22"/>
          <w:szCs w:val="22"/>
        </w:rPr>
        <w:t>The Safety Security &amp; Home Affairs Portfolio Organogram below</w:t>
      </w:r>
      <w:r w:rsidR="00442A85">
        <w:rPr>
          <w:rFonts w:cs="Arial"/>
          <w:sz w:val="22"/>
          <w:szCs w:val="22"/>
        </w:rPr>
        <w:t>.</w:t>
      </w:r>
    </w:p>
    <w:p w14:paraId="3DCCF97E" w14:textId="1E5FB380" w:rsidR="00D36673" w:rsidRDefault="00D36673" w:rsidP="00D36673">
      <w:pPr>
        <w:pStyle w:val="Heading1"/>
        <w:numPr>
          <w:ilvl w:val="0"/>
          <w:numId w:val="0"/>
        </w:numPr>
        <w:ind w:left="425" w:hanging="425"/>
      </w:pPr>
    </w:p>
    <w:p w14:paraId="29CAAD9C" w14:textId="77777777" w:rsidR="00D36673" w:rsidRDefault="00D36673" w:rsidP="00D36673"/>
    <w:p w14:paraId="4106F302" w14:textId="77777777" w:rsidR="00D36673" w:rsidRDefault="00D36673" w:rsidP="00D36673">
      <w:pPr>
        <w:sectPr w:rsidR="00D36673" w:rsidSect="00245D63">
          <w:pgSz w:w="11906" w:h="16838"/>
          <w:pgMar w:top="709" w:right="1134" w:bottom="1134" w:left="1134" w:header="709" w:footer="709" w:gutter="0"/>
          <w:cols w:space="708"/>
          <w:docGrid w:linePitch="360"/>
        </w:sectPr>
      </w:pPr>
      <w:bookmarkStart w:id="0" w:name="_GoBack"/>
      <w:bookmarkEnd w:id="0"/>
    </w:p>
    <w:p w14:paraId="000AC7ED" w14:textId="496BBD13" w:rsidR="00CD1AB9" w:rsidRPr="00D2551D" w:rsidRDefault="00D36673" w:rsidP="00D2551D">
      <w:r>
        <w:rPr>
          <w:noProof/>
          <w:lang w:eastAsia="en-GB"/>
        </w:rPr>
        <w:drawing>
          <wp:inline distT="0" distB="0" distL="0" distR="0" wp14:anchorId="306E8AFC" wp14:editId="5DB22F98">
            <wp:extent cx="9687511" cy="61702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532" t="13063" r="16484" b="8828"/>
                    <a:stretch/>
                  </pic:blipFill>
                  <pic:spPr bwMode="auto">
                    <a:xfrm>
                      <a:off x="0" y="0"/>
                      <a:ext cx="9726899" cy="6195299"/>
                    </a:xfrm>
                    <a:prstGeom prst="rect">
                      <a:avLst/>
                    </a:prstGeom>
                    <a:ln>
                      <a:noFill/>
                    </a:ln>
                    <a:extLst>
                      <a:ext uri="{53640926-AAD7-44D8-BBD7-CCE9431645EC}">
                        <a14:shadowObscured xmlns:a14="http://schemas.microsoft.com/office/drawing/2010/main"/>
                      </a:ext>
                    </a:extLst>
                  </pic:spPr>
                </pic:pic>
              </a:graphicData>
            </a:graphic>
          </wp:inline>
        </w:drawing>
      </w:r>
    </w:p>
    <w:sectPr w:rsidR="00CD1AB9" w:rsidRPr="00D2551D" w:rsidSect="00D36673">
      <w:pgSz w:w="16838" w:h="11906" w:orient="landscape"/>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70615"/>
    <w:multiLevelType w:val="hybridMultilevel"/>
    <w:tmpl w:val="EC2CD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646581"/>
    <w:multiLevelType w:val="hybridMultilevel"/>
    <w:tmpl w:val="C52A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246BE8"/>
    <w:multiLevelType w:val="hybridMultilevel"/>
    <w:tmpl w:val="0096B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85E01"/>
    <w:multiLevelType w:val="multilevel"/>
    <w:tmpl w:val="596AC6A2"/>
    <w:lvl w:ilvl="0">
      <w:start w:val="1"/>
      <w:numFmt w:val="decimal"/>
      <w:pStyle w:val="Heading1"/>
      <w:lvlText w:val="%1."/>
      <w:lvlJc w:val="left"/>
      <w:pPr>
        <w:ind w:left="720" w:hanging="72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7A4B46"/>
    <w:multiLevelType w:val="hybridMultilevel"/>
    <w:tmpl w:val="25CA2762"/>
    <w:lvl w:ilvl="0" w:tplc="E13E9F48">
      <w:numFmt w:val="bullet"/>
      <w:lvlText w:val="-"/>
      <w:lvlJc w:val="left"/>
      <w:pPr>
        <w:ind w:left="1080" w:hanging="360"/>
      </w:pPr>
      <w:rPr>
        <w:rFonts w:ascii="Arial Narrow" w:eastAsiaTheme="minorHAns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7"/>
  </w:num>
  <w:num w:numId="4">
    <w:abstractNumId w:val="19"/>
  </w:num>
  <w:num w:numId="5">
    <w:abstractNumId w:val="15"/>
  </w:num>
  <w:num w:numId="6">
    <w:abstractNumId w:val="3"/>
  </w:num>
  <w:num w:numId="7">
    <w:abstractNumId w:val="24"/>
  </w:num>
  <w:num w:numId="8">
    <w:abstractNumId w:val="18"/>
  </w:num>
  <w:num w:numId="9">
    <w:abstractNumId w:val="2"/>
  </w:num>
  <w:num w:numId="1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22"/>
  </w:num>
  <w:num w:numId="15">
    <w:abstractNumId w:val="23"/>
  </w:num>
  <w:num w:numId="16">
    <w:abstractNumId w:val="5"/>
  </w:num>
  <w:num w:numId="17">
    <w:abstractNumId w:val="1"/>
  </w:num>
  <w:num w:numId="18">
    <w:abstractNumId w:val="11"/>
  </w:num>
  <w:num w:numId="19">
    <w:abstractNumId w:val="0"/>
  </w:num>
  <w:num w:numId="20">
    <w:abstractNumId w:val="12"/>
  </w:num>
  <w:num w:numId="21">
    <w:abstractNumId w:val="21"/>
  </w:num>
  <w:num w:numId="22">
    <w:abstractNumId w:val="7"/>
  </w:num>
  <w:num w:numId="23">
    <w:abstractNumId w:val="10"/>
  </w:num>
  <w:num w:numId="24">
    <w:abstractNumId w:val="8"/>
  </w:num>
  <w:num w:numId="25">
    <w:abstractNumId w:val="20"/>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01F86"/>
    <w:rsid w:val="00011CFE"/>
    <w:rsid w:val="00017D78"/>
    <w:rsid w:val="0002480A"/>
    <w:rsid w:val="000601B7"/>
    <w:rsid w:val="000C4ABC"/>
    <w:rsid w:val="000E18D5"/>
    <w:rsid w:val="001163A8"/>
    <w:rsid w:val="001323CD"/>
    <w:rsid w:val="00134331"/>
    <w:rsid w:val="00141E10"/>
    <w:rsid w:val="00141FBE"/>
    <w:rsid w:val="00145369"/>
    <w:rsid w:val="0015235C"/>
    <w:rsid w:val="00190471"/>
    <w:rsid w:val="00192D22"/>
    <w:rsid w:val="001A3E3C"/>
    <w:rsid w:val="001C575C"/>
    <w:rsid w:val="001D42E7"/>
    <w:rsid w:val="001D64CF"/>
    <w:rsid w:val="001E4982"/>
    <w:rsid w:val="001E579D"/>
    <w:rsid w:val="0024009B"/>
    <w:rsid w:val="00242846"/>
    <w:rsid w:val="00245D63"/>
    <w:rsid w:val="00252CCB"/>
    <w:rsid w:val="00263C2F"/>
    <w:rsid w:val="00270A71"/>
    <w:rsid w:val="002743F5"/>
    <w:rsid w:val="002802BB"/>
    <w:rsid w:val="002B5403"/>
    <w:rsid w:val="002D46EB"/>
    <w:rsid w:val="002D5165"/>
    <w:rsid w:val="002F062C"/>
    <w:rsid w:val="002F55FA"/>
    <w:rsid w:val="002F5627"/>
    <w:rsid w:val="00310250"/>
    <w:rsid w:val="00312550"/>
    <w:rsid w:val="00316C3A"/>
    <w:rsid w:val="00345C5C"/>
    <w:rsid w:val="00381651"/>
    <w:rsid w:val="0039115B"/>
    <w:rsid w:val="00392F0B"/>
    <w:rsid w:val="00433B78"/>
    <w:rsid w:val="00433F3D"/>
    <w:rsid w:val="00442A85"/>
    <w:rsid w:val="00446B57"/>
    <w:rsid w:val="00461F34"/>
    <w:rsid w:val="00461F94"/>
    <w:rsid w:val="004820BE"/>
    <w:rsid w:val="00482B40"/>
    <w:rsid w:val="00484A31"/>
    <w:rsid w:val="00495EA5"/>
    <w:rsid w:val="00496537"/>
    <w:rsid w:val="004D30CA"/>
    <w:rsid w:val="004F7242"/>
    <w:rsid w:val="00505732"/>
    <w:rsid w:val="00505C2C"/>
    <w:rsid w:val="00537DC0"/>
    <w:rsid w:val="00581FD1"/>
    <w:rsid w:val="00582C2D"/>
    <w:rsid w:val="00597CBC"/>
    <w:rsid w:val="005A120F"/>
    <w:rsid w:val="005A25CB"/>
    <w:rsid w:val="005B1758"/>
    <w:rsid w:val="005D2576"/>
    <w:rsid w:val="005F2094"/>
    <w:rsid w:val="005F4F86"/>
    <w:rsid w:val="005F59E6"/>
    <w:rsid w:val="00610606"/>
    <w:rsid w:val="006117A0"/>
    <w:rsid w:val="006272EC"/>
    <w:rsid w:val="006C122E"/>
    <w:rsid w:val="006D30D3"/>
    <w:rsid w:val="006F17A1"/>
    <w:rsid w:val="00715541"/>
    <w:rsid w:val="00732499"/>
    <w:rsid w:val="0077327F"/>
    <w:rsid w:val="00785DD7"/>
    <w:rsid w:val="007F127D"/>
    <w:rsid w:val="008027CF"/>
    <w:rsid w:val="0083152A"/>
    <w:rsid w:val="00841CC7"/>
    <w:rsid w:val="00856DE5"/>
    <w:rsid w:val="0087029E"/>
    <w:rsid w:val="00884DAA"/>
    <w:rsid w:val="008D1C98"/>
    <w:rsid w:val="00922805"/>
    <w:rsid w:val="00935A4A"/>
    <w:rsid w:val="0094429F"/>
    <w:rsid w:val="00950D60"/>
    <w:rsid w:val="00961F1C"/>
    <w:rsid w:val="00970167"/>
    <w:rsid w:val="00971014"/>
    <w:rsid w:val="00972384"/>
    <w:rsid w:val="00992886"/>
    <w:rsid w:val="00992DA4"/>
    <w:rsid w:val="009A25F4"/>
    <w:rsid w:val="009B12DC"/>
    <w:rsid w:val="009F7CAD"/>
    <w:rsid w:val="00A05B0F"/>
    <w:rsid w:val="00A43DA4"/>
    <w:rsid w:val="00A45C13"/>
    <w:rsid w:val="00A54B87"/>
    <w:rsid w:val="00A57758"/>
    <w:rsid w:val="00A5787E"/>
    <w:rsid w:val="00A600FB"/>
    <w:rsid w:val="00A66AAB"/>
    <w:rsid w:val="00A72CB2"/>
    <w:rsid w:val="00A81D1E"/>
    <w:rsid w:val="00A933EB"/>
    <w:rsid w:val="00AA3E00"/>
    <w:rsid w:val="00AA46F8"/>
    <w:rsid w:val="00AB1708"/>
    <w:rsid w:val="00AB4C7F"/>
    <w:rsid w:val="00AD2826"/>
    <w:rsid w:val="00B15A95"/>
    <w:rsid w:val="00B528D8"/>
    <w:rsid w:val="00B742BE"/>
    <w:rsid w:val="00B7530B"/>
    <w:rsid w:val="00BB0A45"/>
    <w:rsid w:val="00BF2DE6"/>
    <w:rsid w:val="00C06DB8"/>
    <w:rsid w:val="00C221CB"/>
    <w:rsid w:val="00C27B08"/>
    <w:rsid w:val="00C46F29"/>
    <w:rsid w:val="00C50919"/>
    <w:rsid w:val="00C831C0"/>
    <w:rsid w:val="00CC6937"/>
    <w:rsid w:val="00CC796A"/>
    <w:rsid w:val="00CD1AB9"/>
    <w:rsid w:val="00CE0DEA"/>
    <w:rsid w:val="00CE7753"/>
    <w:rsid w:val="00CF08D8"/>
    <w:rsid w:val="00D2551D"/>
    <w:rsid w:val="00D325FA"/>
    <w:rsid w:val="00D352DE"/>
    <w:rsid w:val="00D36673"/>
    <w:rsid w:val="00D45F0E"/>
    <w:rsid w:val="00D51444"/>
    <w:rsid w:val="00D64775"/>
    <w:rsid w:val="00D652CF"/>
    <w:rsid w:val="00D67366"/>
    <w:rsid w:val="00D77C83"/>
    <w:rsid w:val="00DE3AEB"/>
    <w:rsid w:val="00DF74E8"/>
    <w:rsid w:val="00E03E1C"/>
    <w:rsid w:val="00E1384B"/>
    <w:rsid w:val="00E32504"/>
    <w:rsid w:val="00E3543B"/>
    <w:rsid w:val="00E46F6E"/>
    <w:rsid w:val="00E5605B"/>
    <w:rsid w:val="00E5774D"/>
    <w:rsid w:val="00E80224"/>
    <w:rsid w:val="00EC39DF"/>
    <w:rsid w:val="00EC492A"/>
    <w:rsid w:val="00ED2146"/>
    <w:rsid w:val="00EE09D4"/>
    <w:rsid w:val="00F1540A"/>
    <w:rsid w:val="00F228B1"/>
    <w:rsid w:val="00F569E6"/>
    <w:rsid w:val="00F732CE"/>
    <w:rsid w:val="00F86095"/>
    <w:rsid w:val="00F93E12"/>
    <w:rsid w:val="00FB5F2A"/>
    <w:rsid w:val="00FC7394"/>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A933EB"/>
    <w:pPr>
      <w:keepNext/>
      <w:keepLines/>
      <w:numPr>
        <w:numId w:val="27"/>
      </w:numPr>
      <w:spacing w:before="240" w:after="120"/>
      <w:ind w:left="425" w:hanging="425"/>
      <w:outlineLvl w:val="0"/>
    </w:pPr>
    <w:rPr>
      <w:rFonts w:ascii="Arial" w:eastAsiaTheme="majorEastAsia" w:hAnsi="Arial" w:cs="Arial"/>
      <w:b/>
      <w:sz w:val="32"/>
      <w:szCs w:val="32"/>
    </w:rPr>
  </w:style>
  <w:style w:type="paragraph" w:styleId="Heading4">
    <w:name w:val="heading 4"/>
    <w:basedOn w:val="Normal"/>
    <w:next w:val="Normal"/>
    <w:link w:val="Heading4Char"/>
    <w:qFormat/>
    <w:rsid w:val="006117A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3EB"/>
    <w:rPr>
      <w:rFonts w:ascii="Arial" w:eastAsiaTheme="majorEastAsia" w:hAnsi="Arial" w:cs="Arial"/>
      <w:b/>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45F0E"/>
    <w:pPr>
      <w:spacing w:after="0" w:line="240" w:lineRule="auto"/>
      <w:ind w:right="680"/>
      <w:jc w:val="both"/>
    </w:pPr>
    <w:rPr>
      <w:rFonts w:ascii="Calibri" w:eastAsia="Calibri" w:hAnsi="Calibri" w:cs="Times New Roman"/>
      <w:lang w:val="en-US" w:eastAsia="en-GB"/>
    </w:rPr>
  </w:style>
  <w:style w:type="character" w:customStyle="1" w:styleId="NoSpacingChar">
    <w:name w:val="No Spacing Char"/>
    <w:basedOn w:val="DefaultParagraphFont"/>
    <w:link w:val="NoSpacing"/>
    <w:uiPriority w:val="1"/>
    <w:rsid w:val="00D45F0E"/>
    <w:rPr>
      <w:rFonts w:ascii="Calibri" w:eastAsia="Calibri" w:hAnsi="Calibri" w:cs="Times New Roman"/>
      <w:lang w:val="en-US" w:eastAsia="en-GB"/>
    </w:rPr>
  </w:style>
  <w:style w:type="character" w:customStyle="1" w:styleId="Heading4Char">
    <w:name w:val="Heading 4 Char"/>
    <w:basedOn w:val="DefaultParagraphFont"/>
    <w:link w:val="Heading4"/>
    <w:rsid w:val="006117A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sainthelena.gov.sh/wp-content/uploads/2012/08/10-Year-Plan-20-January-2017.pd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AFD0D3E1789439D598CBB857843D9" ma:contentTypeVersion="10" ma:contentTypeDescription="Create a new document." ma:contentTypeScope="" ma:versionID="687cb98d235ceaba10a71e9d89aeec80">
  <xsd:schema xmlns:xsd="http://www.w3.org/2001/XMLSchema" xmlns:xs="http://www.w3.org/2001/XMLSchema" xmlns:p="http://schemas.microsoft.com/office/2006/metadata/properties" xmlns:ns3="541fda01-387d-4b58-9eb9-9f989be9ad52" targetNamespace="http://schemas.microsoft.com/office/2006/metadata/properties" ma:root="true" ma:fieldsID="8d757ccc0cbaea2429c3190bd81b9a03" ns3:_="">
    <xsd:import namespace="541fda01-387d-4b58-9eb9-9f989be9a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fda01-387d-4b58-9eb9-9f989be9a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253D-5335-40F6-9073-BA9BED07611A}">
  <ds:schemaRefs>
    <ds:schemaRef ds:uri="http://schemas.microsoft.com/sharepoint/v3/contenttype/forms"/>
  </ds:schemaRefs>
</ds:datastoreItem>
</file>

<file path=customXml/itemProps2.xml><?xml version="1.0" encoding="utf-8"?>
<ds:datastoreItem xmlns:ds="http://schemas.openxmlformats.org/officeDocument/2006/customXml" ds:itemID="{63C92C6B-7BED-456B-88A6-A8CCC9F1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fda01-387d-4b58-9eb9-9f989be9a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3E29C-BEB4-4E8F-82F7-0C1F91DF8A62}">
  <ds:schemaRefs>
    <ds:schemaRef ds:uri="http://schemas.microsoft.com/office/2006/metadata/properties"/>
    <ds:schemaRef ds:uri="http://purl.org/dc/dcmitype/"/>
    <ds:schemaRef ds:uri="http://schemas.microsoft.com/office/2006/documentManagement/types"/>
    <ds:schemaRef ds:uri="http://purl.org/dc/terms/"/>
    <ds:schemaRef ds:uri="541fda01-387d-4b58-9eb9-9f989be9ad52"/>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21B4100-2A71-4DEC-B1DA-FDD49EC4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Anya Richards</cp:lastModifiedBy>
  <cp:revision>4</cp:revision>
  <cp:lastPrinted>2024-01-18T15:06:00Z</cp:lastPrinted>
  <dcterms:created xsi:type="dcterms:W3CDTF">2024-01-05T11:37:00Z</dcterms:created>
  <dcterms:modified xsi:type="dcterms:W3CDTF">2024-01-18T15:22:00Z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0x010100AE9AFD0D3E1789439D598CBB857843D9</vt:lpwstr>
  </property>
</Properties>
</file>